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ED6" w:rsidRDefault="00255712" w:rsidP="00255712">
      <w:pPr>
        <w:suppressLineNumbers/>
        <w:jc w:val="center"/>
        <w:rPr>
          <w:rtl/>
        </w:rPr>
      </w:pPr>
      <w:r>
        <w:drawing>
          <wp:inline distT="0" distB="0" distL="0" distR="0" wp14:anchorId="6270472E" wp14:editId="072E96BC">
            <wp:extent cx="374015" cy="469265"/>
            <wp:effectExtent l="0" t="0" r="6985" b="6985"/>
            <wp:docPr id="2" name="Picture 1" descr="ישראל - המנורה - 2"/>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p w:rsidR="00255712" w:rsidRDefault="00255712" w:rsidP="00255712">
      <w:pPr>
        <w:suppressLineNumbers/>
        <w:jc w:val="center"/>
        <w:rPr>
          <w:rtl/>
        </w:rPr>
      </w:pPr>
      <w:r>
        <w:rPr>
          <w:rFonts w:ascii="Tahoma" w:hAnsi="Tahoma"/>
          <w:color w:val="000080"/>
          <w:sz w:val="32"/>
          <w:szCs w:val="32"/>
          <w:rtl/>
        </w:rPr>
        <w:t>בית המשפט המחוזי בבאר שבע</w:t>
      </w:r>
    </w:p>
    <w:p w:rsidR="00255712" w:rsidRDefault="00255712" w:rsidP="00255712">
      <w:pPr>
        <w:suppressLineNumbers/>
        <w:jc w:val="center"/>
        <w:rPr>
          <w:rtl/>
        </w:rPr>
      </w:pPr>
    </w:p>
    <w:p w:rsidR="00255712" w:rsidRDefault="00F87CE2" w:rsidP="00255712">
      <w:pPr>
        <w:rPr>
          <w:b/>
          <w:bCs/>
          <w:noProof w:val="0"/>
          <w:sz w:val="26"/>
          <w:szCs w:val="26"/>
        </w:rPr>
      </w:pPr>
      <w:sdt>
        <w:sdtPr>
          <w:rPr>
            <w:rtl/>
          </w:rPr>
          <w:alias w:val="1170"/>
          <w:tag w:val="1170"/>
          <w:id w:val="1066377040"/>
          <w:text w:multiLine="1"/>
        </w:sdtPr>
        <w:sdtEndPr/>
        <w:sdtContent>
          <w:r w:rsidR="00255712">
            <w:rPr>
              <w:b/>
              <w:bCs/>
              <w:noProof w:val="0"/>
              <w:sz w:val="26"/>
              <w:szCs w:val="26"/>
              <w:rtl/>
            </w:rPr>
            <w:br/>
            <w:t>רמ"ש</w:t>
          </w:r>
        </w:sdtContent>
      </w:sdt>
      <w:r w:rsidR="00255712">
        <w:rPr>
          <w:b/>
          <w:bCs/>
          <w:noProof w:val="0"/>
          <w:sz w:val="26"/>
          <w:szCs w:val="26"/>
          <w:rtl/>
        </w:rPr>
        <w:t xml:space="preserve"> </w:t>
      </w:r>
      <w:bookmarkStart w:id="0" w:name="_GoBack"/>
      <w:sdt>
        <w:sdtPr>
          <w:rPr>
            <w:rtl/>
          </w:rPr>
          <w:alias w:val="1171"/>
          <w:tag w:val="1171"/>
          <w:id w:val="257034231"/>
          <w:text w:multiLine="1"/>
        </w:sdtPr>
        <w:sdtEndPr/>
        <w:sdtContent>
          <w:r w:rsidR="00255712">
            <w:rPr>
              <w:b/>
              <w:bCs/>
              <w:noProof w:val="0"/>
              <w:sz w:val="26"/>
              <w:szCs w:val="26"/>
              <w:rtl/>
            </w:rPr>
            <w:t>1143-07-24</w:t>
          </w:r>
        </w:sdtContent>
      </w:sdt>
      <w:bookmarkEnd w:id="0"/>
      <w:r w:rsidR="00255712">
        <w:rPr>
          <w:b/>
          <w:bCs/>
          <w:noProof w:val="0"/>
          <w:sz w:val="26"/>
          <w:szCs w:val="26"/>
          <w:rtl/>
        </w:rPr>
        <w:t xml:space="preserve"> </w:t>
      </w:r>
      <w:sdt>
        <w:sdtPr>
          <w:rPr>
            <w:b/>
            <w:bCs/>
            <w:noProof w:val="0"/>
            <w:sz w:val="26"/>
            <w:szCs w:val="26"/>
            <w:rtl/>
          </w:rPr>
          <w:alias w:val="3154"/>
          <w:tag w:val="3154"/>
          <w:id w:val="-1714497037"/>
          <w:placeholder>
            <w:docPart w:val="51DAC9712DD04D9D82EED07ACCD8C05A"/>
          </w:placeholder>
          <w:text w:multiLine="1"/>
        </w:sdtPr>
        <w:sdtEndPr/>
        <w:sdtContent>
          <w:r w:rsidR="00255712">
            <w:rPr>
              <w:rFonts w:hint="cs"/>
              <w:b/>
              <w:bCs/>
              <w:noProof w:val="0"/>
              <w:sz w:val="26"/>
              <w:szCs w:val="26"/>
              <w:rtl/>
            </w:rPr>
            <w:t xml:space="preserve">פלונית </w:t>
          </w:r>
          <w:r w:rsidR="00255712">
            <w:rPr>
              <w:b/>
              <w:bCs/>
              <w:noProof w:val="0"/>
              <w:sz w:val="26"/>
              <w:szCs w:val="26"/>
              <w:rtl/>
            </w:rPr>
            <w:t xml:space="preserve">נ' </w:t>
          </w:r>
          <w:r w:rsidR="00255712">
            <w:rPr>
              <w:rFonts w:hint="cs"/>
              <w:b/>
              <w:bCs/>
              <w:noProof w:val="0"/>
              <w:sz w:val="26"/>
              <w:szCs w:val="26"/>
              <w:rtl/>
            </w:rPr>
            <w:t>אלמונים</w:t>
          </w:r>
        </w:sdtContent>
      </w:sdt>
      <w:r w:rsidR="00255712">
        <w:rPr>
          <w:b/>
          <w:bCs/>
          <w:noProof w:val="0"/>
          <w:sz w:val="26"/>
          <w:szCs w:val="26"/>
          <w:rtl/>
        </w:rPr>
        <w:t xml:space="preserve"> </w:t>
      </w:r>
    </w:p>
    <w:p w:rsidR="00255712" w:rsidRDefault="00255712" w:rsidP="00255712">
      <w:pPr>
        <w:rPr>
          <w:b/>
          <w:bCs/>
          <w:noProof w:val="0"/>
          <w:sz w:val="2"/>
          <w:szCs w:val="2"/>
          <w:rtl/>
        </w:rPr>
      </w:pPr>
    </w:p>
    <w:p w:rsidR="00255712" w:rsidRDefault="00255712" w:rsidP="00255712">
      <w:pPr>
        <w:rPr>
          <w:sz w:val="20"/>
          <w:szCs w:val="20"/>
          <w:rtl/>
        </w:rPr>
      </w:pPr>
      <w:r>
        <w:rPr>
          <w:rtl/>
        </w:rPr>
        <w:t xml:space="preserve">                           </w:t>
      </w:r>
      <w:r>
        <w:rPr>
          <w:sz w:val="20"/>
          <w:szCs w:val="20"/>
          <w:rtl/>
        </w:rPr>
        <w:t xml:space="preserve">                                       </w:t>
      </w:r>
    </w:p>
    <w:p w:rsidR="00255712" w:rsidRDefault="00255712" w:rsidP="00255712">
      <w:pPr>
        <w:suppressLineNumbers/>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335ED6" w:rsidTr="00335ED6">
        <w:trPr>
          <w:jc w:val="center"/>
        </w:trPr>
        <w:tc>
          <w:tcPr>
            <w:tcW w:w="743" w:type="dxa"/>
          </w:tcPr>
          <w:p w:rsidR="00335ED6" w:rsidRDefault="00335ED6">
            <w:pPr>
              <w:suppressLineNumbers/>
              <w:jc w:val="both"/>
              <w:rPr>
                <w:rFonts w:ascii="Arial" w:hAnsi="Arial"/>
                <w:b/>
                <w:bCs/>
                <w:sz w:val="26"/>
                <w:szCs w:val="26"/>
                <w:rtl/>
              </w:rPr>
            </w:pPr>
          </w:p>
        </w:tc>
        <w:tc>
          <w:tcPr>
            <w:tcW w:w="8077" w:type="dxa"/>
          </w:tcPr>
          <w:p w:rsidR="00335ED6" w:rsidRDefault="00335ED6">
            <w:pPr>
              <w:suppressLineNumbers/>
              <w:rPr>
                <w:sz w:val="26"/>
                <w:szCs w:val="26"/>
                <w:rtl/>
              </w:rPr>
            </w:pPr>
          </w:p>
        </w:tc>
      </w:tr>
    </w:tbl>
    <w:p w:rsidR="00335ED6" w:rsidRDefault="00335ED6" w:rsidP="00335ED6">
      <w:pPr>
        <w:suppressLineNumbers/>
      </w:pPr>
      <w:bookmarkStart w:id="1" w:name="NGCSBookmark"/>
      <w:bookmarkEnd w:id="1"/>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335ED6" w:rsidTr="00335ED6">
        <w:trPr>
          <w:jc w:val="center"/>
        </w:trPr>
        <w:tc>
          <w:tcPr>
            <w:tcW w:w="743" w:type="dxa"/>
            <w:hideMark/>
          </w:tcPr>
          <w:p w:rsidR="00335ED6" w:rsidRDefault="00335ED6">
            <w:pPr>
              <w:suppressLineNumbers/>
              <w:jc w:val="both"/>
              <w:rPr>
                <w:rFonts w:ascii="Arial" w:hAnsi="Arial"/>
                <w:b/>
                <w:bCs/>
                <w:sz w:val="26"/>
                <w:szCs w:val="26"/>
              </w:rPr>
            </w:pPr>
            <w:r>
              <w:rPr>
                <w:rFonts w:ascii="Arial" w:hAnsi="Arial"/>
                <w:b/>
                <w:bCs/>
                <w:sz w:val="26"/>
                <w:szCs w:val="26"/>
                <w:rtl/>
              </w:rPr>
              <w:t xml:space="preserve">לפני </w:t>
            </w:r>
          </w:p>
        </w:tc>
        <w:tc>
          <w:tcPr>
            <w:tcW w:w="8077" w:type="dxa"/>
            <w:gridSpan w:val="2"/>
          </w:tcPr>
          <w:p w:rsidR="00335ED6" w:rsidRDefault="00335ED6" w:rsidP="00335ED6">
            <w:pPr>
              <w:suppressLineNumbers/>
              <w:jc w:val="left"/>
              <w:rPr>
                <w:rFonts w:ascii="Arial" w:hAnsi="Arial"/>
                <w:b/>
                <w:bCs/>
                <w:sz w:val="26"/>
                <w:szCs w:val="26"/>
                <w:rtl/>
              </w:rPr>
            </w:pPr>
            <w:r>
              <w:rPr>
                <w:rFonts w:ascii="Arial" w:hAnsi="Arial"/>
                <w:b/>
                <w:bCs/>
                <w:sz w:val="26"/>
                <w:szCs w:val="26"/>
                <w:rtl/>
              </w:rPr>
              <w:t>כבוד ה</w:t>
            </w:r>
            <w:sdt>
              <w:sdtPr>
                <w:rPr>
                  <w:sz w:val="26"/>
                  <w:szCs w:val="26"/>
                  <w:rtl/>
                </w:rPr>
                <w:alias w:val="1574"/>
                <w:tag w:val="1574"/>
                <w:id w:val="27693576"/>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1727522481"/>
                <w:text w:multiLine="1"/>
              </w:sdtPr>
              <w:sdtEndPr/>
              <w:sdtContent>
                <w:r>
                  <w:rPr>
                    <w:rFonts w:ascii="Arial" w:hAnsi="Arial"/>
                    <w:b/>
                    <w:bCs/>
                    <w:sz w:val="26"/>
                    <w:szCs w:val="26"/>
                    <w:rtl/>
                  </w:rPr>
                  <w:t>פאני גילת כהן</w:t>
                </w:r>
                <w:r>
                  <w:rPr>
                    <w:sz w:val="26"/>
                    <w:szCs w:val="26"/>
                    <w:rtl/>
                  </w:rPr>
                  <w:br/>
                </w:r>
              </w:sdtContent>
            </w:sdt>
          </w:p>
          <w:p w:rsidR="00335ED6" w:rsidRDefault="00335ED6">
            <w:pPr>
              <w:suppressLineNumbers/>
              <w:rPr>
                <w:sz w:val="26"/>
                <w:szCs w:val="26"/>
                <w:rtl/>
              </w:rPr>
            </w:pPr>
          </w:p>
        </w:tc>
      </w:tr>
      <w:tr w:rsidR="00335ED6" w:rsidTr="00335ED6">
        <w:trPr>
          <w:jc w:val="center"/>
        </w:trPr>
        <w:tc>
          <w:tcPr>
            <w:tcW w:w="3249" w:type="dxa"/>
            <w:gridSpan w:val="2"/>
          </w:tcPr>
          <w:p w:rsidR="00335ED6" w:rsidRDefault="00335ED6">
            <w:pPr>
              <w:suppressLineNumbers/>
              <w:rPr>
                <w:rtl/>
              </w:rPr>
            </w:pPr>
          </w:p>
          <w:sdt>
            <w:sdtPr>
              <w:rPr>
                <w:rtl/>
              </w:rPr>
              <w:alias w:val="1180"/>
              <w:tag w:val="1180"/>
              <w:id w:val="637458750"/>
              <w:text w:multiLine="1"/>
            </w:sdtPr>
            <w:sdtEndPr/>
            <w:sdtContent>
              <w:p w:rsidR="00335ED6" w:rsidRDefault="00335ED6">
                <w:pPr>
                  <w:suppressLineNumbers/>
                  <w:jc w:val="left"/>
                  <w:rPr>
                    <w:rFonts w:ascii="Arial" w:hAnsi="Arial"/>
                    <w:b/>
                    <w:bCs/>
                    <w:noProof w:val="0"/>
                    <w:sz w:val="26"/>
                    <w:szCs w:val="26"/>
                  </w:rPr>
                </w:pPr>
                <w:r>
                  <w:rPr>
                    <w:rFonts w:ascii="Arial" w:hAnsi="Arial"/>
                    <w:b/>
                    <w:bCs/>
                    <w:noProof w:val="0"/>
                    <w:sz w:val="26"/>
                    <w:szCs w:val="26"/>
                    <w:rtl/>
                  </w:rPr>
                  <w:t>המבקשת</w:t>
                </w:r>
              </w:p>
            </w:sdtContent>
          </w:sdt>
        </w:tc>
        <w:tc>
          <w:tcPr>
            <w:tcW w:w="5571" w:type="dxa"/>
          </w:tcPr>
          <w:p w:rsidR="00335ED6" w:rsidRDefault="00335ED6">
            <w:pPr>
              <w:suppressLineNumbers/>
              <w:rPr>
                <w:rtl/>
              </w:rPr>
            </w:pPr>
          </w:p>
          <w:p w:rsidR="00335ED6" w:rsidRDefault="00F87CE2" w:rsidP="00335ED6">
            <w:pPr>
              <w:suppressLineNumbers/>
              <w:jc w:val="left"/>
              <w:rPr>
                <w:b/>
                <w:bCs/>
                <w:noProof w:val="0"/>
                <w:sz w:val="26"/>
                <w:szCs w:val="26"/>
                <w:rtl/>
              </w:rPr>
            </w:pPr>
            <w:sdt>
              <w:sdtPr>
                <w:rPr>
                  <w:rFonts w:ascii="Arial" w:hAnsi="Arial"/>
                  <w:b/>
                  <w:bCs/>
                  <w:noProof w:val="0"/>
                  <w:sz w:val="26"/>
                  <w:szCs w:val="26"/>
                  <w:rtl/>
                </w:rPr>
                <w:alias w:val="3151"/>
                <w:tag w:val="3151"/>
                <w:id w:val="1166218717"/>
                <w:placeholder>
                  <w:docPart w:val="25EDE73228124CE98CE08C88963E1B12"/>
                </w:placeholder>
                <w:text w:multiLine="1"/>
              </w:sdtPr>
              <w:sdtEndPr/>
              <w:sdtContent>
                <w:r w:rsidR="00335ED6">
                  <w:rPr>
                    <w:rFonts w:ascii="Arial" w:hAnsi="Arial" w:hint="cs"/>
                    <w:b/>
                    <w:bCs/>
                    <w:noProof w:val="0"/>
                    <w:sz w:val="26"/>
                    <w:szCs w:val="26"/>
                    <w:rtl/>
                  </w:rPr>
                  <w:t xml:space="preserve">פלונית </w:t>
                </w:r>
                <w:r w:rsidR="00335ED6">
                  <w:rPr>
                    <w:rFonts w:ascii="Arial" w:hAnsi="Arial"/>
                    <w:b/>
                    <w:bCs/>
                    <w:noProof w:val="0"/>
                    <w:sz w:val="26"/>
                    <w:szCs w:val="26"/>
                    <w:rtl/>
                  </w:rPr>
                  <w:br/>
                  <w:t>באמצעות ב"כ עו"ד שני ישראלי ואח'</w:t>
                </w:r>
              </w:sdtContent>
            </w:sdt>
          </w:p>
        </w:tc>
      </w:tr>
      <w:tr w:rsidR="00335ED6" w:rsidTr="00335ED6">
        <w:trPr>
          <w:jc w:val="center"/>
        </w:trPr>
        <w:tc>
          <w:tcPr>
            <w:tcW w:w="8820" w:type="dxa"/>
            <w:gridSpan w:val="3"/>
          </w:tcPr>
          <w:p w:rsidR="00335ED6" w:rsidRDefault="00335ED6">
            <w:pPr>
              <w:suppressLineNumbers/>
              <w:rPr>
                <w:rFonts w:ascii="Arial" w:hAnsi="Arial"/>
                <w:b/>
                <w:bCs/>
                <w:noProof w:val="0"/>
                <w:sz w:val="26"/>
                <w:szCs w:val="26"/>
                <w:rtl/>
              </w:rPr>
            </w:pPr>
          </w:p>
          <w:p w:rsidR="00335ED6" w:rsidRDefault="00335ED6">
            <w:pPr>
              <w:suppressLineNumbers/>
              <w:jc w:val="center"/>
              <w:rPr>
                <w:rFonts w:ascii="Arial" w:hAnsi="Arial"/>
                <w:b/>
                <w:bCs/>
                <w:noProof w:val="0"/>
                <w:sz w:val="26"/>
                <w:szCs w:val="26"/>
              </w:rPr>
            </w:pPr>
          </w:p>
        </w:tc>
      </w:tr>
      <w:tr w:rsidR="00335ED6" w:rsidTr="00335ED6">
        <w:trPr>
          <w:jc w:val="center"/>
        </w:trPr>
        <w:tc>
          <w:tcPr>
            <w:tcW w:w="3249" w:type="dxa"/>
            <w:gridSpan w:val="2"/>
            <w:hideMark/>
          </w:tcPr>
          <w:p w:rsidR="00335ED6" w:rsidRDefault="00F87CE2" w:rsidP="00335ED6">
            <w:pPr>
              <w:suppressLineNumbers/>
              <w:jc w:val="left"/>
              <w:rPr>
                <w:rFonts w:ascii="Arial" w:hAnsi="Arial"/>
                <w:b/>
                <w:bCs/>
                <w:noProof w:val="0"/>
                <w:sz w:val="26"/>
                <w:szCs w:val="26"/>
                <w:rtl/>
              </w:rPr>
            </w:pPr>
            <w:sdt>
              <w:sdtPr>
                <w:rPr>
                  <w:rtl/>
                </w:rPr>
                <w:alias w:val="1184"/>
                <w:tag w:val="1184"/>
                <w:id w:val="-340621022"/>
                <w:text w:multiLine="1"/>
              </w:sdtPr>
              <w:sdtEndPr/>
              <w:sdtContent>
                <w:r w:rsidR="00335ED6">
                  <w:rPr>
                    <w:rFonts w:ascii="Arial" w:hAnsi="Arial"/>
                    <w:b/>
                    <w:bCs/>
                    <w:noProof w:val="0"/>
                    <w:sz w:val="26"/>
                    <w:szCs w:val="26"/>
                    <w:rtl/>
                  </w:rPr>
                  <w:t>המשיבים</w:t>
                </w:r>
              </w:sdtContent>
            </w:sdt>
          </w:p>
        </w:tc>
        <w:tc>
          <w:tcPr>
            <w:tcW w:w="5571" w:type="dxa"/>
            <w:hideMark/>
          </w:tcPr>
          <w:p w:rsidR="00335ED6" w:rsidRDefault="00F87CE2" w:rsidP="00335ED6">
            <w:pPr>
              <w:suppressLineNumbers/>
              <w:jc w:val="left"/>
              <w:rPr>
                <w:rFonts w:ascii="Arial" w:hAnsi="Arial"/>
                <w:b/>
                <w:bCs/>
                <w:noProof w:val="0"/>
                <w:sz w:val="26"/>
                <w:szCs w:val="26"/>
              </w:rPr>
            </w:pPr>
            <w:sdt>
              <w:sdtPr>
                <w:rPr>
                  <w:rFonts w:ascii="Arial" w:hAnsi="Arial"/>
                  <w:b/>
                  <w:bCs/>
                  <w:noProof w:val="0"/>
                  <w:sz w:val="26"/>
                  <w:szCs w:val="26"/>
                  <w:rtl/>
                </w:rPr>
                <w:alias w:val="1571"/>
                <w:tag w:val="1571"/>
                <w:id w:val="1028836282"/>
                <w:text w:multiLine="1"/>
              </w:sdtPr>
              <w:sdtEndPr/>
              <w:sdtContent>
                <w:r w:rsidR="00335ED6">
                  <w:rPr>
                    <w:rFonts w:ascii="Arial" w:hAnsi="Arial"/>
                    <w:b/>
                    <w:bCs/>
                    <w:noProof w:val="0"/>
                    <w:sz w:val="26"/>
                    <w:szCs w:val="26"/>
                    <w:rtl/>
                  </w:rPr>
                  <w:t>1</w:t>
                </w:r>
              </w:sdtContent>
            </w:sdt>
            <w:r w:rsidR="00335ED6">
              <w:rPr>
                <w:rFonts w:ascii="Arial" w:hAnsi="Arial"/>
                <w:b/>
                <w:bCs/>
                <w:noProof w:val="0"/>
                <w:sz w:val="26"/>
                <w:szCs w:val="26"/>
                <w:rtl/>
              </w:rPr>
              <w:t xml:space="preserve">. </w:t>
            </w:r>
            <w:sdt>
              <w:sdtPr>
                <w:rPr>
                  <w:rFonts w:ascii="Arial" w:hAnsi="Arial"/>
                  <w:b/>
                  <w:bCs/>
                  <w:noProof w:val="0"/>
                  <w:sz w:val="26"/>
                  <w:szCs w:val="26"/>
                  <w:rtl/>
                </w:rPr>
                <w:alias w:val="3152"/>
                <w:tag w:val="3152"/>
                <w:id w:val="-1346628691"/>
                <w:placeholder>
                  <w:docPart w:val="210854E31CE1477480E6104066A8ABB9"/>
                </w:placeholder>
                <w:text w:multiLine="1"/>
              </w:sdtPr>
              <w:sdtEndPr/>
              <w:sdtContent>
                <w:r w:rsidR="00335ED6">
                  <w:rPr>
                    <w:rFonts w:ascii="Arial" w:hAnsi="Arial" w:hint="cs"/>
                    <w:b/>
                    <w:bCs/>
                    <w:noProof w:val="0"/>
                    <w:sz w:val="26"/>
                    <w:szCs w:val="26"/>
                    <w:rtl/>
                  </w:rPr>
                  <w:t xml:space="preserve">אלמוני </w:t>
                </w:r>
                <w:r w:rsidR="00335ED6">
                  <w:rPr>
                    <w:rFonts w:ascii="Arial" w:hAnsi="Arial"/>
                    <w:b/>
                    <w:bCs/>
                    <w:noProof w:val="0"/>
                    <w:sz w:val="26"/>
                    <w:szCs w:val="26"/>
                    <w:rtl/>
                  </w:rPr>
                  <w:br/>
                  <w:t xml:space="preserve">באמצעות ב"כ עו"ד לאה הלחמי </w:t>
                </w:r>
                <w:r w:rsidR="00335ED6">
                  <w:rPr>
                    <w:rFonts w:ascii="Arial" w:hAnsi="Arial"/>
                    <w:b/>
                    <w:bCs/>
                    <w:noProof w:val="0"/>
                    <w:sz w:val="26"/>
                    <w:szCs w:val="26"/>
                    <w:rtl/>
                  </w:rPr>
                  <w:br/>
                </w:r>
              </w:sdtContent>
            </w:sdt>
          </w:p>
          <w:p w:rsidR="00335ED6" w:rsidRDefault="00F87CE2" w:rsidP="00335ED6">
            <w:pPr>
              <w:suppressLineNumbers/>
              <w:jc w:val="left"/>
              <w:rPr>
                <w:rFonts w:ascii="Arial" w:hAnsi="Arial"/>
                <w:b/>
                <w:bCs/>
                <w:noProof w:val="0"/>
                <w:sz w:val="26"/>
                <w:szCs w:val="26"/>
              </w:rPr>
            </w:pPr>
            <w:sdt>
              <w:sdtPr>
                <w:rPr>
                  <w:rFonts w:ascii="Arial" w:hAnsi="Arial"/>
                  <w:b/>
                  <w:bCs/>
                  <w:noProof w:val="0"/>
                  <w:sz w:val="26"/>
                  <w:szCs w:val="26"/>
                  <w:rtl/>
                </w:rPr>
                <w:alias w:val="1571"/>
                <w:tag w:val="1571"/>
                <w:id w:val="-1556074690"/>
                <w:text w:multiLine="1"/>
              </w:sdtPr>
              <w:sdtEndPr/>
              <w:sdtContent>
                <w:r w:rsidR="00335ED6">
                  <w:rPr>
                    <w:rFonts w:ascii="Arial" w:hAnsi="Arial"/>
                    <w:b/>
                    <w:bCs/>
                    <w:noProof w:val="0"/>
                    <w:sz w:val="26"/>
                    <w:szCs w:val="26"/>
                    <w:rtl/>
                  </w:rPr>
                  <w:t>2</w:t>
                </w:r>
              </w:sdtContent>
            </w:sdt>
            <w:r w:rsidR="00335ED6">
              <w:rPr>
                <w:rFonts w:ascii="Arial" w:hAnsi="Arial"/>
                <w:b/>
                <w:bCs/>
                <w:noProof w:val="0"/>
                <w:sz w:val="26"/>
                <w:szCs w:val="26"/>
                <w:rtl/>
              </w:rPr>
              <w:t xml:space="preserve">. </w:t>
            </w:r>
            <w:sdt>
              <w:sdtPr>
                <w:rPr>
                  <w:rFonts w:ascii="Arial" w:hAnsi="Arial"/>
                  <w:b/>
                  <w:bCs/>
                  <w:noProof w:val="0"/>
                  <w:sz w:val="26"/>
                  <w:szCs w:val="26"/>
                  <w:rtl/>
                </w:rPr>
                <w:alias w:val="3152"/>
                <w:tag w:val="3152"/>
                <w:id w:val="1541320195"/>
                <w:placeholder>
                  <w:docPart w:val="210854E31CE1477480E6104066A8ABB9"/>
                </w:placeholder>
                <w:text w:multiLine="1"/>
              </w:sdtPr>
              <w:sdtEndPr/>
              <w:sdtContent>
                <w:r w:rsidR="00335ED6">
                  <w:rPr>
                    <w:rFonts w:ascii="Arial" w:hAnsi="Arial" w:hint="cs"/>
                    <w:b/>
                    <w:bCs/>
                    <w:noProof w:val="0"/>
                    <w:sz w:val="26"/>
                    <w:szCs w:val="26"/>
                    <w:rtl/>
                  </w:rPr>
                  <w:t>אלמונית</w:t>
                </w:r>
              </w:sdtContent>
            </w:sdt>
          </w:p>
          <w:p w:rsidR="00335ED6" w:rsidRDefault="00F87CE2" w:rsidP="00335ED6">
            <w:pPr>
              <w:suppressLineNumbers/>
              <w:jc w:val="left"/>
              <w:rPr>
                <w:rFonts w:ascii="Arial" w:hAnsi="Arial"/>
                <w:b/>
                <w:bCs/>
                <w:noProof w:val="0"/>
                <w:sz w:val="26"/>
                <w:szCs w:val="26"/>
                <w:rtl/>
              </w:rPr>
            </w:pPr>
            <w:sdt>
              <w:sdtPr>
                <w:rPr>
                  <w:rFonts w:ascii="Arial" w:hAnsi="Arial"/>
                  <w:b/>
                  <w:bCs/>
                  <w:noProof w:val="0"/>
                  <w:sz w:val="26"/>
                  <w:szCs w:val="26"/>
                  <w:rtl/>
                </w:rPr>
                <w:alias w:val="1571"/>
                <w:tag w:val="1571"/>
                <w:id w:val="-1619139907"/>
                <w:text w:multiLine="1"/>
              </w:sdtPr>
              <w:sdtEndPr/>
              <w:sdtContent>
                <w:r w:rsidR="00335ED6">
                  <w:rPr>
                    <w:rFonts w:ascii="Arial" w:hAnsi="Arial"/>
                    <w:b/>
                    <w:bCs/>
                    <w:noProof w:val="0"/>
                    <w:sz w:val="26"/>
                    <w:szCs w:val="26"/>
                    <w:rtl/>
                  </w:rPr>
                  <w:t>3</w:t>
                </w:r>
              </w:sdtContent>
            </w:sdt>
            <w:r w:rsidR="00335ED6">
              <w:rPr>
                <w:rFonts w:ascii="Arial" w:hAnsi="Arial"/>
                <w:b/>
                <w:bCs/>
                <w:noProof w:val="0"/>
                <w:sz w:val="26"/>
                <w:szCs w:val="26"/>
                <w:rtl/>
              </w:rPr>
              <w:t xml:space="preserve">. </w:t>
            </w:r>
            <w:sdt>
              <w:sdtPr>
                <w:rPr>
                  <w:rFonts w:ascii="Arial" w:hAnsi="Arial"/>
                  <w:b/>
                  <w:bCs/>
                  <w:noProof w:val="0"/>
                  <w:sz w:val="26"/>
                  <w:szCs w:val="26"/>
                  <w:rtl/>
                </w:rPr>
                <w:alias w:val="3152"/>
                <w:tag w:val="3152"/>
                <w:id w:val="-213889058"/>
                <w:placeholder>
                  <w:docPart w:val="210854E31CE1477480E6104066A8ABB9"/>
                </w:placeholder>
                <w:text w:multiLine="1"/>
              </w:sdtPr>
              <w:sdtEndPr/>
              <w:sdtContent>
                <w:r w:rsidR="00335ED6">
                  <w:rPr>
                    <w:rFonts w:ascii="Arial" w:hAnsi="Arial" w:hint="cs"/>
                    <w:b/>
                    <w:bCs/>
                    <w:noProof w:val="0"/>
                    <w:sz w:val="26"/>
                    <w:szCs w:val="26"/>
                    <w:rtl/>
                  </w:rPr>
                  <w:t>אלמוני</w:t>
                </w:r>
              </w:sdtContent>
            </w:sdt>
          </w:p>
          <w:p w:rsidR="00335ED6" w:rsidRDefault="00F87CE2" w:rsidP="00335ED6">
            <w:pPr>
              <w:suppressLineNumbers/>
              <w:jc w:val="left"/>
              <w:rPr>
                <w:rFonts w:ascii="Arial" w:hAnsi="Arial"/>
                <w:b/>
                <w:bCs/>
                <w:noProof w:val="0"/>
                <w:sz w:val="26"/>
                <w:szCs w:val="26"/>
                <w:rtl/>
              </w:rPr>
            </w:pPr>
            <w:sdt>
              <w:sdtPr>
                <w:rPr>
                  <w:rFonts w:ascii="Arial" w:hAnsi="Arial"/>
                  <w:b/>
                  <w:bCs/>
                  <w:noProof w:val="0"/>
                  <w:sz w:val="26"/>
                  <w:szCs w:val="26"/>
                  <w:rtl/>
                </w:rPr>
                <w:alias w:val="1571"/>
                <w:tag w:val="1571"/>
                <w:id w:val="1099455942"/>
                <w:text w:multiLine="1"/>
              </w:sdtPr>
              <w:sdtEndPr/>
              <w:sdtContent>
                <w:r w:rsidR="00335ED6">
                  <w:rPr>
                    <w:rFonts w:ascii="Arial" w:hAnsi="Arial"/>
                    <w:b/>
                    <w:bCs/>
                    <w:noProof w:val="0"/>
                    <w:sz w:val="26"/>
                    <w:szCs w:val="26"/>
                    <w:rtl/>
                  </w:rPr>
                  <w:t>4</w:t>
                </w:r>
              </w:sdtContent>
            </w:sdt>
            <w:r w:rsidR="00335ED6">
              <w:rPr>
                <w:rFonts w:ascii="Arial" w:hAnsi="Arial"/>
                <w:b/>
                <w:bCs/>
                <w:noProof w:val="0"/>
                <w:sz w:val="26"/>
                <w:szCs w:val="26"/>
                <w:rtl/>
              </w:rPr>
              <w:t xml:space="preserve">. </w:t>
            </w:r>
            <w:sdt>
              <w:sdtPr>
                <w:rPr>
                  <w:rFonts w:ascii="Arial" w:hAnsi="Arial"/>
                  <w:b/>
                  <w:bCs/>
                  <w:noProof w:val="0"/>
                  <w:sz w:val="26"/>
                  <w:szCs w:val="26"/>
                  <w:rtl/>
                </w:rPr>
                <w:alias w:val="3152"/>
                <w:tag w:val="3152"/>
                <w:id w:val="476193676"/>
                <w:placeholder>
                  <w:docPart w:val="210854E31CE1477480E6104066A8ABB9"/>
                </w:placeholder>
                <w:text w:multiLine="1"/>
              </w:sdtPr>
              <w:sdtEndPr/>
              <w:sdtContent>
                <w:r w:rsidR="00335ED6">
                  <w:rPr>
                    <w:rFonts w:ascii="Arial" w:hAnsi="Arial" w:hint="cs"/>
                    <w:b/>
                    <w:bCs/>
                    <w:noProof w:val="0"/>
                    <w:sz w:val="26"/>
                    <w:szCs w:val="26"/>
                    <w:rtl/>
                  </w:rPr>
                  <w:t>אלמוני</w:t>
                </w:r>
              </w:sdtContent>
            </w:sdt>
          </w:p>
          <w:p w:rsidR="00335ED6" w:rsidRDefault="00F87CE2" w:rsidP="00335ED6">
            <w:pPr>
              <w:suppressLineNumbers/>
              <w:jc w:val="left"/>
              <w:rPr>
                <w:rFonts w:ascii="Arial" w:hAnsi="Arial"/>
                <w:b/>
                <w:bCs/>
                <w:noProof w:val="0"/>
                <w:sz w:val="26"/>
                <w:szCs w:val="26"/>
                <w:rtl/>
              </w:rPr>
            </w:pPr>
            <w:sdt>
              <w:sdtPr>
                <w:rPr>
                  <w:rFonts w:ascii="Arial" w:hAnsi="Arial"/>
                  <w:b/>
                  <w:bCs/>
                  <w:noProof w:val="0"/>
                  <w:sz w:val="26"/>
                  <w:szCs w:val="26"/>
                  <w:rtl/>
                </w:rPr>
                <w:alias w:val="1571"/>
                <w:tag w:val="1571"/>
                <w:id w:val="-781728118"/>
                <w:text w:multiLine="1"/>
              </w:sdtPr>
              <w:sdtEndPr/>
              <w:sdtContent>
                <w:r w:rsidR="00335ED6">
                  <w:rPr>
                    <w:rFonts w:ascii="Arial" w:hAnsi="Arial"/>
                    <w:b/>
                    <w:bCs/>
                    <w:noProof w:val="0"/>
                    <w:sz w:val="26"/>
                    <w:szCs w:val="26"/>
                    <w:rtl/>
                  </w:rPr>
                  <w:t>5</w:t>
                </w:r>
              </w:sdtContent>
            </w:sdt>
            <w:r w:rsidR="00335ED6">
              <w:rPr>
                <w:rFonts w:ascii="Arial" w:hAnsi="Arial"/>
                <w:b/>
                <w:bCs/>
                <w:noProof w:val="0"/>
                <w:sz w:val="26"/>
                <w:szCs w:val="26"/>
                <w:rtl/>
              </w:rPr>
              <w:t xml:space="preserve">. </w:t>
            </w:r>
            <w:sdt>
              <w:sdtPr>
                <w:rPr>
                  <w:rFonts w:ascii="Arial" w:hAnsi="Arial"/>
                  <w:b/>
                  <w:bCs/>
                  <w:noProof w:val="0"/>
                  <w:sz w:val="26"/>
                  <w:szCs w:val="26"/>
                  <w:rtl/>
                </w:rPr>
                <w:alias w:val="3152"/>
                <w:tag w:val="3152"/>
                <w:id w:val="1938327598"/>
                <w:placeholder>
                  <w:docPart w:val="210854E31CE1477480E6104066A8ABB9"/>
                </w:placeholder>
                <w:text w:multiLine="1"/>
              </w:sdtPr>
              <w:sdtEndPr/>
              <w:sdtContent>
                <w:r w:rsidR="00335ED6">
                  <w:rPr>
                    <w:rFonts w:ascii="Arial" w:hAnsi="Arial" w:hint="cs"/>
                    <w:b/>
                    <w:bCs/>
                    <w:noProof w:val="0"/>
                    <w:sz w:val="26"/>
                    <w:szCs w:val="26"/>
                    <w:rtl/>
                  </w:rPr>
                  <w:t xml:space="preserve">אלמוני </w:t>
                </w:r>
              </w:sdtContent>
            </w:sdt>
          </w:p>
          <w:p w:rsidR="00335ED6" w:rsidRDefault="00F87CE2" w:rsidP="00335ED6">
            <w:pPr>
              <w:suppressLineNumbers/>
              <w:jc w:val="left"/>
              <w:rPr>
                <w:rFonts w:ascii="Arial" w:hAnsi="Arial"/>
                <w:b/>
                <w:bCs/>
                <w:noProof w:val="0"/>
                <w:sz w:val="26"/>
                <w:szCs w:val="26"/>
                <w:rtl/>
              </w:rPr>
            </w:pPr>
            <w:sdt>
              <w:sdtPr>
                <w:rPr>
                  <w:rFonts w:ascii="Arial" w:hAnsi="Arial"/>
                  <w:b/>
                  <w:bCs/>
                  <w:noProof w:val="0"/>
                  <w:sz w:val="26"/>
                  <w:szCs w:val="26"/>
                  <w:rtl/>
                </w:rPr>
                <w:alias w:val="1571"/>
                <w:tag w:val="1571"/>
                <w:id w:val="269828315"/>
                <w:text w:multiLine="1"/>
              </w:sdtPr>
              <w:sdtEndPr/>
              <w:sdtContent>
                <w:r w:rsidR="00335ED6">
                  <w:rPr>
                    <w:rFonts w:ascii="Arial" w:hAnsi="Arial"/>
                    <w:b/>
                    <w:bCs/>
                    <w:noProof w:val="0"/>
                    <w:sz w:val="26"/>
                    <w:szCs w:val="26"/>
                    <w:rtl/>
                  </w:rPr>
                  <w:t>6</w:t>
                </w:r>
              </w:sdtContent>
            </w:sdt>
            <w:r w:rsidR="00335ED6">
              <w:rPr>
                <w:rFonts w:ascii="Arial" w:hAnsi="Arial"/>
                <w:b/>
                <w:bCs/>
                <w:noProof w:val="0"/>
                <w:sz w:val="26"/>
                <w:szCs w:val="26"/>
                <w:rtl/>
              </w:rPr>
              <w:t xml:space="preserve">. </w:t>
            </w:r>
            <w:sdt>
              <w:sdtPr>
                <w:rPr>
                  <w:rFonts w:ascii="Arial" w:hAnsi="Arial"/>
                  <w:b/>
                  <w:bCs/>
                  <w:noProof w:val="0"/>
                  <w:sz w:val="26"/>
                  <w:szCs w:val="26"/>
                  <w:rtl/>
                </w:rPr>
                <w:alias w:val="3152"/>
                <w:tag w:val="3152"/>
                <w:id w:val="876437823"/>
                <w:placeholder>
                  <w:docPart w:val="210854E31CE1477480E6104066A8ABB9"/>
                </w:placeholder>
                <w:text w:multiLine="1"/>
              </w:sdtPr>
              <w:sdtEndPr/>
              <w:sdtContent>
                <w:r w:rsidR="00335ED6">
                  <w:rPr>
                    <w:rFonts w:ascii="Arial" w:hAnsi="Arial" w:hint="cs"/>
                    <w:b/>
                    <w:bCs/>
                    <w:noProof w:val="0"/>
                    <w:sz w:val="26"/>
                    <w:szCs w:val="26"/>
                    <w:rtl/>
                  </w:rPr>
                  <w:t xml:space="preserve">אלמונית </w:t>
                </w:r>
                <w:r w:rsidR="00335ED6">
                  <w:rPr>
                    <w:rFonts w:ascii="Arial" w:hAnsi="Arial"/>
                    <w:b/>
                    <w:bCs/>
                    <w:noProof w:val="0"/>
                    <w:sz w:val="26"/>
                    <w:szCs w:val="26"/>
                    <w:rtl/>
                  </w:rPr>
                  <w:br/>
                  <w:t>באמצעות ב"כ עו"ד צבי טהורי</w:t>
                </w:r>
                <w:r w:rsidR="00335ED6">
                  <w:rPr>
                    <w:rFonts w:ascii="Arial" w:hAnsi="Arial"/>
                    <w:b/>
                    <w:bCs/>
                    <w:noProof w:val="0"/>
                    <w:sz w:val="26"/>
                    <w:szCs w:val="26"/>
                    <w:rtl/>
                  </w:rPr>
                  <w:br/>
                </w:r>
              </w:sdtContent>
            </w:sdt>
          </w:p>
          <w:p w:rsidR="00335ED6" w:rsidRDefault="00F87CE2" w:rsidP="00335ED6">
            <w:pPr>
              <w:suppressLineNumbers/>
              <w:jc w:val="left"/>
              <w:rPr>
                <w:rFonts w:ascii="Arial" w:hAnsi="Arial"/>
                <w:b/>
                <w:bCs/>
                <w:noProof w:val="0"/>
                <w:sz w:val="26"/>
                <w:szCs w:val="26"/>
                <w:rtl/>
              </w:rPr>
            </w:pPr>
            <w:sdt>
              <w:sdtPr>
                <w:rPr>
                  <w:rFonts w:ascii="Arial" w:hAnsi="Arial"/>
                  <w:b/>
                  <w:bCs/>
                  <w:noProof w:val="0"/>
                  <w:sz w:val="26"/>
                  <w:szCs w:val="26"/>
                  <w:rtl/>
                </w:rPr>
                <w:alias w:val="1571"/>
                <w:tag w:val="1571"/>
                <w:id w:val="-2021855483"/>
                <w:text w:multiLine="1"/>
              </w:sdtPr>
              <w:sdtEndPr/>
              <w:sdtContent>
                <w:r w:rsidR="00335ED6">
                  <w:rPr>
                    <w:rFonts w:ascii="Arial" w:hAnsi="Arial"/>
                    <w:b/>
                    <w:bCs/>
                    <w:noProof w:val="0"/>
                    <w:sz w:val="26"/>
                    <w:szCs w:val="26"/>
                    <w:rtl/>
                  </w:rPr>
                  <w:t>7</w:t>
                </w:r>
              </w:sdtContent>
            </w:sdt>
            <w:r w:rsidR="00335ED6">
              <w:rPr>
                <w:rFonts w:ascii="Arial" w:hAnsi="Arial"/>
                <w:b/>
                <w:bCs/>
                <w:noProof w:val="0"/>
                <w:sz w:val="26"/>
                <w:szCs w:val="26"/>
                <w:rtl/>
              </w:rPr>
              <w:t xml:space="preserve">. </w:t>
            </w:r>
            <w:sdt>
              <w:sdtPr>
                <w:rPr>
                  <w:rFonts w:ascii="Arial" w:hAnsi="Arial"/>
                  <w:b/>
                  <w:bCs/>
                  <w:noProof w:val="0"/>
                  <w:sz w:val="26"/>
                  <w:szCs w:val="26"/>
                  <w:rtl/>
                </w:rPr>
                <w:alias w:val="3152"/>
                <w:tag w:val="3152"/>
                <w:id w:val="1235589647"/>
                <w:placeholder>
                  <w:docPart w:val="210854E31CE1477480E6104066A8ABB9"/>
                </w:placeholder>
                <w:text w:multiLine="1"/>
              </w:sdtPr>
              <w:sdtEndPr/>
              <w:sdtContent>
                <w:r w:rsidR="00335ED6">
                  <w:rPr>
                    <w:rFonts w:ascii="Arial" w:hAnsi="Arial" w:hint="cs"/>
                    <w:b/>
                    <w:bCs/>
                    <w:noProof w:val="0"/>
                    <w:sz w:val="26"/>
                    <w:szCs w:val="26"/>
                    <w:rtl/>
                  </w:rPr>
                  <w:t xml:space="preserve">אלמונית </w:t>
                </w:r>
              </w:sdtContent>
            </w:sdt>
          </w:p>
          <w:p w:rsidR="00335ED6" w:rsidRDefault="00F87CE2" w:rsidP="00335ED6">
            <w:pPr>
              <w:suppressLineNumbers/>
              <w:jc w:val="left"/>
              <w:rPr>
                <w:rFonts w:ascii="Arial" w:hAnsi="Arial"/>
                <w:b/>
                <w:bCs/>
                <w:noProof w:val="0"/>
                <w:sz w:val="26"/>
                <w:szCs w:val="26"/>
                <w:rtl/>
              </w:rPr>
            </w:pPr>
            <w:sdt>
              <w:sdtPr>
                <w:rPr>
                  <w:rFonts w:ascii="Arial" w:hAnsi="Arial"/>
                  <w:b/>
                  <w:bCs/>
                  <w:noProof w:val="0"/>
                  <w:sz w:val="26"/>
                  <w:szCs w:val="26"/>
                  <w:rtl/>
                </w:rPr>
                <w:alias w:val="1571"/>
                <w:tag w:val="1571"/>
                <w:id w:val="1423842596"/>
                <w:text w:multiLine="1"/>
              </w:sdtPr>
              <w:sdtEndPr/>
              <w:sdtContent>
                <w:r w:rsidR="00335ED6">
                  <w:rPr>
                    <w:rFonts w:ascii="Arial" w:hAnsi="Arial"/>
                    <w:b/>
                    <w:bCs/>
                    <w:noProof w:val="0"/>
                    <w:sz w:val="26"/>
                    <w:szCs w:val="26"/>
                    <w:rtl/>
                  </w:rPr>
                  <w:t>8</w:t>
                </w:r>
              </w:sdtContent>
            </w:sdt>
            <w:r w:rsidR="00335ED6">
              <w:rPr>
                <w:rFonts w:ascii="Arial" w:hAnsi="Arial"/>
                <w:b/>
                <w:bCs/>
                <w:noProof w:val="0"/>
                <w:sz w:val="26"/>
                <w:szCs w:val="26"/>
                <w:rtl/>
              </w:rPr>
              <w:t xml:space="preserve">. </w:t>
            </w:r>
            <w:sdt>
              <w:sdtPr>
                <w:rPr>
                  <w:rFonts w:ascii="Arial" w:hAnsi="Arial"/>
                  <w:b/>
                  <w:bCs/>
                  <w:noProof w:val="0"/>
                  <w:sz w:val="26"/>
                  <w:szCs w:val="26"/>
                  <w:rtl/>
                </w:rPr>
                <w:alias w:val="3152"/>
                <w:tag w:val="3152"/>
                <w:id w:val="-659846472"/>
                <w:placeholder>
                  <w:docPart w:val="210854E31CE1477480E6104066A8ABB9"/>
                </w:placeholder>
                <w:text w:multiLine="1"/>
              </w:sdtPr>
              <w:sdtEndPr/>
              <w:sdtContent>
                <w:r w:rsidR="00335ED6">
                  <w:rPr>
                    <w:rFonts w:ascii="Arial" w:hAnsi="Arial" w:hint="cs"/>
                    <w:b/>
                    <w:bCs/>
                    <w:noProof w:val="0"/>
                    <w:sz w:val="26"/>
                    <w:szCs w:val="26"/>
                    <w:rtl/>
                  </w:rPr>
                  <w:t>...</w:t>
                </w:r>
                <w:r w:rsidR="00335ED6">
                  <w:rPr>
                    <w:rFonts w:ascii="Arial" w:hAnsi="Arial"/>
                    <w:b/>
                    <w:bCs/>
                    <w:noProof w:val="0"/>
                    <w:sz w:val="26"/>
                    <w:szCs w:val="26"/>
                    <w:rtl/>
                  </w:rPr>
                  <w:t>, עו"ד-כונס הנכסים</w:t>
                </w:r>
              </w:sdtContent>
            </w:sdt>
          </w:p>
        </w:tc>
      </w:tr>
    </w:tbl>
    <w:p w:rsidR="00335ED6" w:rsidRDefault="00335ED6" w:rsidP="00335ED6">
      <w:pPr>
        <w:rPr>
          <w:rtl/>
        </w:rPr>
      </w:pPr>
    </w:p>
    <w:p w:rsidR="00335ED6" w:rsidRDefault="00335ED6" w:rsidP="00335ED6">
      <w:pPr>
        <w:rPr>
          <w:rtl/>
        </w:rPr>
      </w:pPr>
    </w:p>
    <w:p w:rsidR="00335ED6" w:rsidRDefault="00335ED6" w:rsidP="00335ED6">
      <w:pPr>
        <w:rPr>
          <w:rtl/>
        </w:rPr>
      </w:pPr>
    </w:p>
    <w:p w:rsidR="00335ED6" w:rsidRDefault="00335ED6" w:rsidP="00335ED6">
      <w:pPr>
        <w:rPr>
          <w:rtl/>
        </w:rPr>
      </w:pPr>
    </w:p>
    <w:tbl>
      <w:tblPr>
        <w:tblStyle w:val="a4"/>
        <w:bidiVisual/>
        <w:tblW w:w="9036"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36"/>
      </w:tblGrid>
      <w:tr w:rsidR="00335ED6" w:rsidTr="00335ED6">
        <w:trPr>
          <w:jc w:val="center"/>
        </w:trPr>
        <w:tc>
          <w:tcPr>
            <w:tcW w:w="9036" w:type="dxa"/>
          </w:tcPr>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335ED6">
              <w:trPr>
                <w:jc w:val="center"/>
              </w:trPr>
              <w:tc>
                <w:tcPr>
                  <w:tcW w:w="8820" w:type="dxa"/>
                </w:tcPr>
                <w:p w:rsidR="00335ED6" w:rsidRDefault="00335ED6">
                  <w:pPr>
                    <w:bidi w:val="0"/>
                    <w:jc w:val="center"/>
                    <w:rPr>
                      <w:rFonts w:ascii="Arial" w:hAnsi="Arial"/>
                      <w:b/>
                      <w:bCs/>
                      <w:noProof w:val="0"/>
                      <w:sz w:val="32"/>
                      <w:szCs w:val="32"/>
                      <w:u w:val="single"/>
                      <w:rtl/>
                    </w:rPr>
                  </w:pPr>
                  <w:r>
                    <w:rPr>
                      <w:rFonts w:ascii="Arial" w:hAnsi="Arial"/>
                      <w:b/>
                      <w:bCs/>
                      <w:noProof w:val="0"/>
                      <w:sz w:val="32"/>
                      <w:szCs w:val="32"/>
                      <w:u w:val="single"/>
                      <w:rtl/>
                    </w:rPr>
                    <w:t>החלטה</w:t>
                  </w:r>
                </w:p>
                <w:p w:rsidR="00335ED6" w:rsidRDefault="00335ED6">
                  <w:pPr>
                    <w:bidi w:val="0"/>
                    <w:jc w:val="center"/>
                    <w:rPr>
                      <w:rFonts w:ascii="Arial" w:hAnsi="Arial"/>
                      <w:b/>
                      <w:bCs/>
                      <w:noProof w:val="0"/>
                      <w:sz w:val="28"/>
                      <w:szCs w:val="28"/>
                      <w:u w:val="single"/>
                      <w:rtl/>
                    </w:rPr>
                  </w:pPr>
                </w:p>
              </w:tc>
            </w:tr>
          </w:tbl>
          <w:p w:rsidR="00335ED6" w:rsidRDefault="00335ED6">
            <w:pPr>
              <w:spacing w:line="360" w:lineRule="auto"/>
              <w:ind w:left="420"/>
              <w:jc w:val="both"/>
              <w:rPr>
                <w:rFonts w:ascii="Arial" w:hAnsi="Arial"/>
                <w:b/>
                <w:bCs/>
                <w:noProof w:val="0"/>
              </w:rPr>
            </w:pPr>
            <w:r>
              <w:rPr>
                <w:rFonts w:ascii="Arial" w:hAnsi="Arial"/>
                <w:b/>
                <w:bCs/>
                <w:noProof w:val="0"/>
                <w:rtl/>
              </w:rPr>
              <w:lastRenderedPageBreak/>
              <w:t xml:space="preserve">האם זוכה בהתמחרות בהליכי כינוס נכסים רשאית להסתמך על זכייתה ולמנוע בכך קיום התמחרות נוספת – זוהי השאלה שבלב ההחלטה שלפנינו. </w:t>
            </w:r>
          </w:p>
          <w:p w:rsidR="00335ED6" w:rsidRDefault="00335ED6">
            <w:pPr>
              <w:spacing w:line="360" w:lineRule="auto"/>
              <w:ind w:left="420"/>
              <w:jc w:val="both"/>
              <w:rPr>
                <w:rFonts w:ascii="Arial" w:hAnsi="Arial"/>
                <w:b/>
                <w:bCs/>
                <w:noProof w:val="0"/>
                <w:rtl/>
              </w:rPr>
            </w:pPr>
          </w:p>
          <w:p w:rsidR="00335ED6" w:rsidRDefault="00335ED6">
            <w:pPr>
              <w:spacing w:line="360" w:lineRule="auto"/>
              <w:jc w:val="both"/>
              <w:rPr>
                <w:rFonts w:ascii="Arial" w:hAnsi="Arial"/>
                <w:b/>
                <w:bCs/>
                <w:noProof w:val="0"/>
                <w:sz w:val="26"/>
                <w:szCs w:val="26"/>
                <w:u w:val="single"/>
                <w:rtl/>
              </w:rPr>
            </w:pPr>
            <w:r>
              <w:rPr>
                <w:rFonts w:ascii="Arial" w:hAnsi="Arial"/>
                <w:b/>
                <w:bCs/>
                <w:noProof w:val="0"/>
                <w:sz w:val="26"/>
                <w:szCs w:val="26"/>
                <w:u w:val="single"/>
                <w:rtl/>
              </w:rPr>
              <w:t xml:space="preserve">פתח דבר </w:t>
            </w:r>
          </w:p>
          <w:p w:rsidR="00335ED6" w:rsidRDefault="00335ED6" w:rsidP="00335ED6">
            <w:pPr>
              <w:spacing w:line="360" w:lineRule="auto"/>
              <w:ind w:left="420"/>
              <w:jc w:val="both"/>
              <w:rPr>
                <w:rFonts w:ascii="Arial" w:hAnsi="Arial"/>
                <w:noProof w:val="0"/>
                <w:rtl/>
              </w:rPr>
            </w:pPr>
            <w:r>
              <w:rPr>
                <w:rFonts w:ascii="Arial" w:hAnsi="Arial"/>
                <w:noProof w:val="0"/>
                <w:rtl/>
              </w:rPr>
              <w:t xml:space="preserve">בקשת רשות הערעור שלפנינו מכוונת כנגד החלטת בית המשפט לענייני משפחה בקרית גת (כב' השופט בן שלו) מיום 30.05.2024, אשר ניתנה בהליך שעניינו פירוק שיתוף במקרקעין בגדרה אישר בית המשפט קיום התמחרות חדשה בנוגע לנכס מקרקעין מסחרי השוכן בעיר </w:t>
            </w:r>
            <w:r>
              <w:rPr>
                <w:rFonts w:ascii="Arial" w:hAnsi="Arial" w:hint="cs"/>
                <w:noProof w:val="0"/>
                <w:rtl/>
              </w:rPr>
              <w:t>...</w:t>
            </w:r>
            <w:r>
              <w:rPr>
                <w:rFonts w:ascii="Arial" w:hAnsi="Arial"/>
                <w:noProof w:val="0"/>
                <w:rtl/>
              </w:rPr>
              <w:t xml:space="preserve"> בין מציעה חדשה ובין הזוכה שהוכרזה בהתמחרות קודמת (המבקשת בהליך דנא) טרם כריתת הסכם מכר עמה.</w:t>
            </w:r>
          </w:p>
          <w:p w:rsidR="00335ED6" w:rsidRDefault="00335ED6">
            <w:pPr>
              <w:spacing w:line="360" w:lineRule="auto"/>
              <w:ind w:left="420"/>
              <w:jc w:val="both"/>
              <w:rPr>
                <w:rFonts w:ascii="Arial" w:hAnsi="Arial"/>
                <w:noProof w:val="0"/>
                <w:rtl/>
              </w:rPr>
            </w:pPr>
          </w:p>
          <w:p w:rsidR="00335ED6" w:rsidRDefault="00335ED6">
            <w:pPr>
              <w:spacing w:line="360" w:lineRule="auto"/>
              <w:jc w:val="both"/>
              <w:rPr>
                <w:rFonts w:ascii="Arial" w:hAnsi="Arial"/>
                <w:b/>
                <w:bCs/>
                <w:noProof w:val="0"/>
                <w:sz w:val="26"/>
                <w:szCs w:val="26"/>
                <w:u w:val="single"/>
                <w:rtl/>
              </w:rPr>
            </w:pPr>
            <w:r>
              <w:rPr>
                <w:rFonts w:ascii="Arial" w:hAnsi="Arial"/>
                <w:b/>
                <w:bCs/>
                <w:noProof w:val="0"/>
                <w:sz w:val="26"/>
                <w:szCs w:val="26"/>
                <w:u w:val="single"/>
                <w:rtl/>
              </w:rPr>
              <w:t>רקע עובדתי בתמצית והשתלשלות ההליך בבית המשפט קמא ובבית משפט זה</w:t>
            </w:r>
          </w:p>
          <w:p w:rsidR="00335ED6" w:rsidRDefault="00335ED6">
            <w:pPr>
              <w:pStyle w:val="a3"/>
              <w:ind w:left="420"/>
              <w:jc w:val="both"/>
              <w:rPr>
                <w:rFonts w:ascii="Arial" w:hAnsi="Arial"/>
                <w:noProof w:val="0"/>
                <w:rtl/>
              </w:rPr>
            </w:pPr>
          </w:p>
          <w:p w:rsidR="00335ED6" w:rsidRDefault="00335ED6" w:rsidP="00335ED6">
            <w:pPr>
              <w:pStyle w:val="a3"/>
              <w:spacing w:line="360" w:lineRule="auto"/>
              <w:ind w:left="420"/>
              <w:jc w:val="both"/>
              <w:rPr>
                <w:rFonts w:ascii="Arial" w:hAnsi="Arial"/>
                <w:noProof w:val="0"/>
              </w:rPr>
            </w:pPr>
            <w:r>
              <w:rPr>
                <w:rFonts w:ascii="Arial" w:hAnsi="Arial"/>
                <w:noProof w:val="0"/>
                <w:rtl/>
              </w:rPr>
              <w:t xml:space="preserve">המשיב 1 - התובע בהליך קמא, אשר למרבה הצער הלך לעולמו בסמוך לאחר פתיחת ההליך דנא, היה רשום כחוכר לדורות של מגרש ברח' </w:t>
            </w:r>
            <w:r>
              <w:rPr>
                <w:rFonts w:ascii="Arial" w:hAnsi="Arial" w:hint="cs"/>
                <w:noProof w:val="0"/>
                <w:rtl/>
              </w:rPr>
              <w:t>....</w:t>
            </w:r>
            <w:r>
              <w:rPr>
                <w:rFonts w:ascii="Arial" w:hAnsi="Arial"/>
                <w:noProof w:val="0"/>
                <w:rtl/>
              </w:rPr>
              <w:t xml:space="preserve"> בעיר </w:t>
            </w:r>
            <w:r>
              <w:rPr>
                <w:rFonts w:ascii="Arial" w:hAnsi="Arial" w:hint="cs"/>
                <w:noProof w:val="0"/>
                <w:rtl/>
              </w:rPr>
              <w:t xml:space="preserve">.... </w:t>
            </w:r>
            <w:r>
              <w:rPr>
                <w:rFonts w:ascii="Arial" w:hAnsi="Arial"/>
                <w:noProof w:val="0"/>
                <w:rtl/>
              </w:rPr>
              <w:t>עליו בנוי מבנה בן 2 קומות, בשטח של כ – 800 מ"ר כל אחת (להלן: "</w:t>
            </w:r>
            <w:r>
              <w:rPr>
                <w:rFonts w:ascii="Arial" w:hAnsi="Arial"/>
                <w:b/>
                <w:bCs/>
                <w:noProof w:val="0"/>
                <w:rtl/>
              </w:rPr>
              <w:t>הנכס</w:t>
            </w:r>
            <w:r>
              <w:rPr>
                <w:rFonts w:ascii="Arial" w:hAnsi="Arial"/>
                <w:noProof w:val="0"/>
                <w:rtl/>
              </w:rPr>
              <w:t xml:space="preserve">"). </w:t>
            </w:r>
          </w:p>
          <w:p w:rsidR="00335ED6" w:rsidRDefault="00335ED6">
            <w:pPr>
              <w:pStyle w:val="a3"/>
              <w:ind w:left="420"/>
              <w:jc w:val="both"/>
              <w:rPr>
                <w:rFonts w:ascii="Arial" w:hAnsi="Arial"/>
                <w:noProof w:val="0"/>
              </w:rPr>
            </w:pPr>
          </w:p>
          <w:p w:rsidR="00335ED6" w:rsidRDefault="00335ED6" w:rsidP="00335ED6">
            <w:pPr>
              <w:pStyle w:val="a3"/>
              <w:spacing w:line="360" w:lineRule="auto"/>
              <w:ind w:left="420"/>
              <w:jc w:val="both"/>
              <w:rPr>
                <w:rFonts w:ascii="Arial" w:hAnsi="Arial"/>
                <w:noProof w:val="0"/>
                <w:rtl/>
              </w:rPr>
            </w:pPr>
            <w:r>
              <w:rPr>
                <w:rFonts w:ascii="Arial" w:hAnsi="Arial"/>
                <w:noProof w:val="0"/>
                <w:rtl/>
              </w:rPr>
              <w:t xml:space="preserve">המשיבים 2-7 הם יורשי המנוח </w:t>
            </w:r>
            <w:r>
              <w:rPr>
                <w:rFonts w:ascii="Arial" w:hAnsi="Arial" w:hint="cs"/>
                <w:noProof w:val="0"/>
                <w:rtl/>
              </w:rPr>
              <w:t>....</w:t>
            </w:r>
            <w:r>
              <w:rPr>
                <w:rFonts w:ascii="Arial" w:hAnsi="Arial"/>
                <w:noProof w:val="0"/>
                <w:rtl/>
              </w:rPr>
              <w:t xml:space="preserve"> ז"ל, אחיו של המשיב 1, והם הנתבעים בהליך קמא. </w:t>
            </w:r>
          </w:p>
          <w:p w:rsidR="00335ED6" w:rsidRDefault="00335ED6">
            <w:pPr>
              <w:pStyle w:val="a3"/>
              <w:ind w:left="420"/>
              <w:jc w:val="left"/>
              <w:rPr>
                <w:rFonts w:ascii="Arial" w:hAnsi="Arial"/>
                <w:noProof w:val="0"/>
                <w:rtl/>
              </w:rPr>
            </w:pPr>
            <w:r>
              <w:rPr>
                <w:rFonts w:ascii="Arial" w:hAnsi="Arial"/>
                <w:noProof w:val="0"/>
                <w:rtl/>
              </w:rPr>
              <w:t xml:space="preserve"> </w:t>
            </w:r>
          </w:p>
          <w:p w:rsidR="00335ED6" w:rsidRDefault="00335ED6">
            <w:pPr>
              <w:pStyle w:val="a3"/>
              <w:spacing w:line="360" w:lineRule="auto"/>
              <w:ind w:left="420"/>
              <w:jc w:val="both"/>
              <w:rPr>
                <w:rFonts w:ascii="Arial" w:hAnsi="Arial"/>
                <w:noProof w:val="0"/>
                <w:rtl/>
              </w:rPr>
            </w:pPr>
            <w:r>
              <w:rPr>
                <w:rFonts w:ascii="Arial" w:hAnsi="Arial"/>
                <w:noProof w:val="0"/>
                <w:rtl/>
              </w:rPr>
              <w:t xml:space="preserve">לית מאן דפליג, כי המשיב 1 ז"ל והמשיבים 2-7 הם בעלי הזכויות בנכס. </w:t>
            </w:r>
          </w:p>
          <w:p w:rsidR="00335ED6" w:rsidRDefault="00335ED6">
            <w:pPr>
              <w:pStyle w:val="a3"/>
              <w:spacing w:line="360" w:lineRule="auto"/>
              <w:ind w:left="420"/>
              <w:jc w:val="both"/>
              <w:rPr>
                <w:rFonts w:ascii="Arial" w:hAnsi="Arial"/>
                <w:noProof w:val="0"/>
                <w:rtl/>
              </w:rPr>
            </w:pPr>
            <w:r>
              <w:rPr>
                <w:rFonts w:ascii="Arial" w:hAnsi="Arial"/>
                <w:noProof w:val="0"/>
                <w:rtl/>
              </w:rPr>
              <w:t xml:space="preserve">בהליך קמא עתר המשיב 1 לפירוק השיתוף בנכס. </w:t>
            </w:r>
          </w:p>
          <w:p w:rsidR="00335ED6" w:rsidRDefault="00335ED6">
            <w:pPr>
              <w:pStyle w:val="a3"/>
              <w:ind w:left="420"/>
              <w:rPr>
                <w:rFonts w:ascii="Arial" w:hAnsi="Arial"/>
                <w:noProof w:val="0"/>
                <w:rtl/>
              </w:rPr>
            </w:pPr>
          </w:p>
          <w:p w:rsidR="00335ED6" w:rsidRDefault="00335ED6">
            <w:pPr>
              <w:pStyle w:val="a3"/>
              <w:spacing w:line="360" w:lineRule="auto"/>
              <w:ind w:left="420"/>
              <w:jc w:val="both"/>
              <w:rPr>
                <w:rFonts w:ascii="Arial" w:hAnsi="Arial"/>
                <w:noProof w:val="0"/>
                <w:rtl/>
              </w:rPr>
            </w:pPr>
            <w:r>
              <w:rPr>
                <w:rFonts w:ascii="Arial" w:hAnsi="Arial"/>
                <w:noProof w:val="0"/>
                <w:rtl/>
              </w:rPr>
              <w:t>לאחר שהתקיימו דיונים מספר בהליך קמא ונשמעו עדויות הצדדים, ניתן ביום 01.10.2023 פסק דין, בגדרו התקבלה תביעת המשיב 1 ובית המשפט הורה, בין היתר, על מימוש זכויותיו בנכס בדרך של מכירתן לכל המרבה במחיר, ומינה לשם כך את המשיב 8 ככונס נכסים.</w:t>
            </w:r>
          </w:p>
          <w:p w:rsidR="00335ED6" w:rsidRDefault="00335ED6">
            <w:pPr>
              <w:pStyle w:val="a3"/>
              <w:ind w:left="420"/>
              <w:jc w:val="both"/>
              <w:rPr>
                <w:rFonts w:ascii="Arial" w:hAnsi="Arial"/>
                <w:noProof w:val="0"/>
                <w:rtl/>
              </w:rPr>
            </w:pPr>
          </w:p>
          <w:p w:rsidR="00335ED6" w:rsidRDefault="00335ED6">
            <w:pPr>
              <w:pStyle w:val="a3"/>
              <w:spacing w:line="360" w:lineRule="auto"/>
              <w:ind w:left="420"/>
              <w:jc w:val="both"/>
              <w:rPr>
                <w:rFonts w:ascii="Arial" w:hAnsi="Arial"/>
                <w:noProof w:val="0"/>
                <w:rtl/>
              </w:rPr>
            </w:pPr>
            <w:r>
              <w:rPr>
                <w:rFonts w:ascii="Arial" w:hAnsi="Arial"/>
                <w:noProof w:val="0"/>
                <w:rtl/>
              </w:rPr>
              <w:t xml:space="preserve">ביום 10.03.2024 קיים המשיב 8 התמחרות בסופה הוכרזה המבקשת, באמצעות בעל מניותיה, כזוכה, משהצעתה לרכישת הזכויות בנכס הייתה הגבוהה ביותר ועמדה על 5,150,000 ₪ בתוספת מע"מ.  </w:t>
            </w:r>
          </w:p>
          <w:p w:rsidR="00335ED6" w:rsidRDefault="00335ED6">
            <w:pPr>
              <w:pStyle w:val="a3"/>
              <w:ind w:left="420"/>
              <w:jc w:val="both"/>
              <w:rPr>
                <w:rFonts w:ascii="Arial" w:hAnsi="Arial"/>
                <w:noProof w:val="0"/>
                <w:rtl/>
              </w:rPr>
            </w:pPr>
            <w:r>
              <w:rPr>
                <w:rFonts w:ascii="Arial" w:hAnsi="Arial"/>
                <w:noProof w:val="0"/>
                <w:rtl/>
              </w:rPr>
              <w:t xml:space="preserve"> </w:t>
            </w:r>
          </w:p>
          <w:p w:rsidR="00335ED6" w:rsidRDefault="00335ED6">
            <w:pPr>
              <w:pStyle w:val="a3"/>
              <w:spacing w:line="360" w:lineRule="auto"/>
              <w:ind w:left="420"/>
              <w:jc w:val="both"/>
              <w:rPr>
                <w:rFonts w:ascii="Arial" w:hAnsi="Arial"/>
                <w:noProof w:val="0"/>
                <w:rtl/>
              </w:rPr>
            </w:pPr>
            <w:r>
              <w:rPr>
                <w:rFonts w:ascii="Arial" w:hAnsi="Arial"/>
                <w:noProof w:val="0"/>
                <w:rtl/>
              </w:rPr>
              <w:t xml:space="preserve">ביום 17.03.2024 הוגשה בקשה משותפת ע"י הצדדים בהליך קמא בה עתרו למתן הוראה למשיב 8 לקיים התמחרות נוספת לאור הצעה חדשה לרכישת הזכויות בנכס מיום 14.03.2024 של מציעה חדשה, העומדת על 6,000,000 ₪ בתוספת מע"מ. הבקשה הוגשה על רקע העובדה שטרם הוגשה בקשה לאישור הסכם מכר וממילא טרם נחתם הסכם כזה בין המבקשת ובין בעלי הזכויות בנכס. </w:t>
            </w:r>
          </w:p>
          <w:p w:rsidR="00335ED6" w:rsidRDefault="00335ED6">
            <w:pPr>
              <w:pStyle w:val="a3"/>
              <w:ind w:left="420"/>
              <w:jc w:val="both"/>
              <w:rPr>
                <w:rFonts w:ascii="Arial" w:hAnsi="Arial"/>
                <w:noProof w:val="0"/>
              </w:rPr>
            </w:pPr>
          </w:p>
          <w:p w:rsidR="00335ED6" w:rsidRDefault="00335ED6">
            <w:pPr>
              <w:pStyle w:val="a3"/>
              <w:spacing w:line="360" w:lineRule="auto"/>
              <w:ind w:left="420"/>
              <w:jc w:val="both"/>
              <w:rPr>
                <w:rFonts w:ascii="Arial" w:hAnsi="Arial"/>
                <w:noProof w:val="0"/>
                <w:rtl/>
              </w:rPr>
            </w:pPr>
            <w:r>
              <w:rPr>
                <w:rFonts w:ascii="Arial" w:hAnsi="Arial"/>
                <w:noProof w:val="0"/>
                <w:rtl/>
              </w:rPr>
              <w:t>למחרת היום הגיש המשיב 8 עמדתו בהתייחס לבקשת הצדדים בה שטח את מכלול השיקולים הרלוונטיים, וביקש כי בית המשפט יכריע בדבר.</w:t>
            </w:r>
          </w:p>
          <w:p w:rsidR="00335ED6" w:rsidRDefault="00335ED6">
            <w:pPr>
              <w:pStyle w:val="a3"/>
              <w:ind w:left="420"/>
              <w:jc w:val="both"/>
              <w:rPr>
                <w:rFonts w:ascii="Arial" w:hAnsi="Arial"/>
                <w:noProof w:val="0"/>
                <w:rtl/>
              </w:rPr>
            </w:pPr>
          </w:p>
          <w:p w:rsidR="00335ED6" w:rsidRDefault="00335ED6">
            <w:pPr>
              <w:pStyle w:val="a3"/>
              <w:spacing w:line="360" w:lineRule="auto"/>
              <w:ind w:left="420"/>
              <w:jc w:val="both"/>
              <w:rPr>
                <w:rFonts w:ascii="Arial" w:hAnsi="Arial"/>
                <w:noProof w:val="0"/>
                <w:rtl/>
              </w:rPr>
            </w:pPr>
            <w:r>
              <w:rPr>
                <w:rFonts w:ascii="Arial" w:hAnsi="Arial"/>
                <w:noProof w:val="0"/>
                <w:rtl/>
              </w:rPr>
              <w:lastRenderedPageBreak/>
              <w:t xml:space="preserve">ביום 21.04.2024 הגישה המבקשת עמדתה לבקשה במסגרתה טענה, בין היתר, כי הליך ההתמחרות היה  תקין ובהתאם לדין; כי הבקשה הוגשה בחוסר תום לב ובחוסר ניקיון כפיים והיא מעוררת ספקות באשר לאופי ההצעה החדשה והמציע החדש, וכי יש לדחות טענת בעלי הזכויות בנכס לפיה הרקע להגשת ההצעה החדשה הוא המצב הביטחוני ששרר באזור עקב פרוץ המלחמה. לפיכך טענה, כי קיום התמחרות חדשה  יגרום לפגיעה אנושה בה ויכשיר התנהלותם חסרת תום הלב של מבקשי ההתמחרות כאמור. </w:t>
            </w:r>
          </w:p>
          <w:p w:rsidR="00335ED6" w:rsidRDefault="00335ED6">
            <w:pPr>
              <w:pStyle w:val="a3"/>
              <w:rPr>
                <w:rFonts w:ascii="Arial" w:hAnsi="Arial"/>
                <w:noProof w:val="0"/>
                <w:rtl/>
              </w:rPr>
            </w:pPr>
          </w:p>
          <w:p w:rsidR="00335ED6" w:rsidRDefault="00335ED6">
            <w:pPr>
              <w:pStyle w:val="a3"/>
              <w:spacing w:line="360" w:lineRule="auto"/>
              <w:ind w:left="420"/>
              <w:jc w:val="both"/>
              <w:rPr>
                <w:rFonts w:ascii="Arial" w:hAnsi="Arial"/>
                <w:b/>
                <w:bCs/>
                <w:noProof w:val="0"/>
              </w:rPr>
            </w:pPr>
            <w:r>
              <w:rPr>
                <w:rFonts w:ascii="Arial" w:hAnsi="Arial"/>
                <w:noProof w:val="0"/>
                <w:rtl/>
              </w:rPr>
              <w:t xml:space="preserve">ביום 27.05.2024 התקיים דיון בבקשה ולאחריו ניתנה ביום 30.05.2024 ההחלטה מושא בקשת רשות הערעור שלפנינו בגדרה נעתר בית המשפט לבקשה והתיר קיום התמחרות נוספת, וכך, בין השאר, נימק החלטתו: </w:t>
            </w:r>
            <w:r>
              <w:rPr>
                <w:rFonts w:ascii="Arial" w:hAnsi="Arial"/>
                <w:b/>
                <w:bCs/>
                <w:noProof w:val="0"/>
                <w:rtl/>
              </w:rPr>
              <w:t xml:space="preserve">"... הצדדים טרם חצו את שלב המשא ומתן החוזי סביב הזכייה בהתמחרות. טיוטת ההסכם טרם מולאה עד תומה (גם אם ניתן להניח שהסוגיות שנותרו להשלמה בטיוטה לא היו במחלוקת), ובפני כונס הנכסים אף לא הוצגה הרשאה מפורשת כדין מטעם התאגיד הזוכה להתקשר בהסכם. בוודאי שבנסיבות אלה מוקשה יהא ליתן משקל מכריע לטענה בדבר הסתמכות של הזוכה על הזכיה. הדברים יפים במשנה תוקף מקום בו אף אין מחלוקת כי הזוכה עצמה ולכל הפחות המורשה מטעמה, היו מודעים היטב לכך שהזכיה עצמה תתממש אך ורק בכפוף לאישורה על ידי בית המשפט...". </w:t>
            </w:r>
          </w:p>
          <w:p w:rsidR="00335ED6" w:rsidRDefault="00335ED6">
            <w:pPr>
              <w:pStyle w:val="a3"/>
              <w:ind w:left="420"/>
              <w:jc w:val="both"/>
              <w:rPr>
                <w:rFonts w:ascii="Arial" w:hAnsi="Arial"/>
                <w:b/>
                <w:bCs/>
                <w:noProof w:val="0"/>
                <w:rtl/>
              </w:rPr>
            </w:pPr>
          </w:p>
          <w:p w:rsidR="00335ED6" w:rsidRDefault="00335ED6">
            <w:pPr>
              <w:pStyle w:val="a3"/>
              <w:spacing w:line="360" w:lineRule="auto"/>
              <w:ind w:left="420"/>
              <w:jc w:val="both"/>
              <w:rPr>
                <w:rFonts w:ascii="Arial" w:hAnsi="Arial"/>
                <w:noProof w:val="0"/>
                <w:rtl/>
              </w:rPr>
            </w:pPr>
            <w:r>
              <w:rPr>
                <w:rFonts w:ascii="Arial" w:hAnsi="Arial"/>
                <w:noProof w:val="0"/>
                <w:rtl/>
              </w:rPr>
              <w:t xml:space="preserve">ההחלטה נשענת גם על העובדה שנוסח ההצעה עליה חתם נציג הזוכה כולל אמירה, כי המכירה כפופה לאישור בית המשפט והבהרה לפיה ההצעה אינה כפופה לדיני המכרזים. </w:t>
            </w:r>
          </w:p>
          <w:p w:rsidR="00335ED6" w:rsidRDefault="00335ED6">
            <w:pPr>
              <w:pStyle w:val="a3"/>
              <w:ind w:left="420"/>
              <w:jc w:val="both"/>
              <w:rPr>
                <w:rFonts w:ascii="Arial" w:hAnsi="Arial"/>
                <w:noProof w:val="0"/>
                <w:rtl/>
              </w:rPr>
            </w:pPr>
          </w:p>
          <w:p w:rsidR="00335ED6" w:rsidRDefault="00335ED6" w:rsidP="00335ED6">
            <w:pPr>
              <w:pStyle w:val="a3"/>
              <w:spacing w:line="360" w:lineRule="auto"/>
              <w:ind w:left="420"/>
              <w:jc w:val="both"/>
              <w:rPr>
                <w:rFonts w:ascii="Arial" w:hAnsi="Arial"/>
                <w:noProof w:val="0"/>
                <w:rtl/>
              </w:rPr>
            </w:pPr>
            <w:r>
              <w:rPr>
                <w:rFonts w:ascii="Arial" w:hAnsi="Arial"/>
                <w:noProof w:val="0"/>
                <w:rtl/>
              </w:rPr>
              <w:t xml:space="preserve">עוד התייחס בית המשפט לטענת השיהוי שהועלתה ע"י המבקשת, וקבע בעניין זה, כי מדובר בפרק זמן קצר בן שבוע ימים בלבד מאז קיום ההתמחרות ועד להגשת הבקשה לקיום התמחרות נוספת, בפרט  על רקע מצבה של העיר </w:t>
            </w:r>
            <w:r>
              <w:rPr>
                <w:rFonts w:ascii="Arial" w:hAnsi="Arial" w:hint="cs"/>
                <w:noProof w:val="0"/>
                <w:rtl/>
              </w:rPr>
              <w:t>...</w:t>
            </w:r>
            <w:r>
              <w:rPr>
                <w:rFonts w:ascii="Arial" w:hAnsi="Arial"/>
                <w:noProof w:val="0"/>
                <w:rtl/>
              </w:rPr>
              <w:t xml:space="preserve"> מאז אירועי השבעה באוקטובר, שנמצא כנימוק </w:t>
            </w:r>
            <w:r>
              <w:rPr>
                <w:rFonts w:ascii="Arial" w:hAnsi="Arial" w:hint="cs"/>
                <w:noProof w:val="0"/>
                <w:rtl/>
              </w:rPr>
              <w:t>אשר יש בו להסביר</w:t>
            </w:r>
            <w:r>
              <w:rPr>
                <w:rFonts w:ascii="Arial" w:hAnsi="Arial"/>
                <w:noProof w:val="0"/>
                <w:rtl/>
              </w:rPr>
              <w:t xml:space="preserve"> החמצת המועד להגשת ההצעה ע"י המציע החדש; לכך שלא הוכחה כלל טענת המבקשת בדבר הסתמכותה על הזכייה ושינוי מצבה לרעה; ולכך שאין בטענה בדבר פניית מי מבעלי הדין למציע החדש לאחר קיום ההתמחרות על מנת לעניין אותו ברכישת הנכס כדי להטיל פסול בבקשה לקיום התמחרות נוספת. </w:t>
            </w:r>
          </w:p>
          <w:p w:rsidR="00335ED6" w:rsidRDefault="00335ED6">
            <w:pPr>
              <w:pStyle w:val="a3"/>
              <w:jc w:val="both"/>
              <w:rPr>
                <w:rFonts w:ascii="Arial" w:hAnsi="Arial"/>
                <w:noProof w:val="0"/>
                <w:rtl/>
              </w:rPr>
            </w:pPr>
          </w:p>
          <w:p w:rsidR="00335ED6" w:rsidRDefault="00335ED6">
            <w:pPr>
              <w:pStyle w:val="a3"/>
              <w:spacing w:line="360" w:lineRule="auto"/>
              <w:ind w:left="420"/>
              <w:jc w:val="both"/>
              <w:rPr>
                <w:rFonts w:ascii="Arial" w:hAnsi="Arial"/>
                <w:noProof w:val="0"/>
                <w:rtl/>
              </w:rPr>
            </w:pPr>
            <w:r>
              <w:rPr>
                <w:rFonts w:ascii="Arial" w:hAnsi="Arial"/>
                <w:noProof w:val="0"/>
                <w:rtl/>
              </w:rPr>
              <w:t xml:space="preserve">אגב בחינת תנאי ההצעה החדשה ורצינות כוונת המציע, קבע בית המשפט לאמור: </w:t>
            </w:r>
            <w:r>
              <w:rPr>
                <w:rFonts w:ascii="Arial" w:hAnsi="Arial"/>
                <w:b/>
                <w:bCs/>
                <w:noProof w:val="0"/>
                <w:rtl/>
              </w:rPr>
              <w:t>"השאת התמורה לבעלי הדין היא בבחינת שיקול משמעותי כשבהליכי כינוס עסקינן, במיוחד עת מדובר בנכס מסחרי ובהליכי מכר לצד ג' – במובחן למכר בין בני משפחה בלבד.... דומני שהמקרה שלפני הוא בדיוק מסוג המקרים בהם גם על פי ההלכה הפסוקה יש לאזן בין מכלול השיקולים שפורטו לעיל באופן שתינתן לזוכה ההזדמנות להתמחר אל מול המציעה החדשה...."</w:t>
            </w:r>
            <w:r>
              <w:rPr>
                <w:rFonts w:ascii="Arial" w:hAnsi="Arial"/>
                <w:noProof w:val="0"/>
                <w:rtl/>
              </w:rPr>
              <w:t xml:space="preserve">. </w:t>
            </w:r>
          </w:p>
          <w:p w:rsidR="00335ED6" w:rsidRDefault="00335ED6">
            <w:pPr>
              <w:ind w:left="420"/>
              <w:rPr>
                <w:rFonts w:ascii="Arial" w:hAnsi="Arial"/>
                <w:noProof w:val="0"/>
                <w:rtl/>
              </w:rPr>
            </w:pPr>
          </w:p>
          <w:p w:rsidR="00335ED6" w:rsidRDefault="00335ED6">
            <w:pPr>
              <w:pStyle w:val="a3"/>
              <w:spacing w:line="360" w:lineRule="auto"/>
              <w:ind w:left="420"/>
              <w:jc w:val="both"/>
              <w:rPr>
                <w:rFonts w:ascii="Arial" w:hAnsi="Arial"/>
                <w:noProof w:val="0"/>
                <w:rtl/>
              </w:rPr>
            </w:pPr>
            <w:r>
              <w:rPr>
                <w:rFonts w:ascii="Arial" w:hAnsi="Arial"/>
                <w:noProof w:val="0"/>
                <w:rtl/>
              </w:rPr>
              <w:t xml:space="preserve">המבקשת לא השלימה עם ההחלטה והגישה הבקשה שלפנינו לקבלת רשות לערער עליה, ובד בבד עמה עתרה לעיכוב הביצוע שלה. </w:t>
            </w:r>
          </w:p>
          <w:p w:rsidR="00335ED6" w:rsidRDefault="00335ED6">
            <w:pPr>
              <w:pStyle w:val="a3"/>
              <w:ind w:left="420"/>
              <w:jc w:val="both"/>
              <w:rPr>
                <w:rFonts w:ascii="Arial" w:hAnsi="Arial"/>
                <w:noProof w:val="0"/>
              </w:rPr>
            </w:pPr>
          </w:p>
          <w:p w:rsidR="00335ED6" w:rsidRDefault="00335ED6">
            <w:pPr>
              <w:pStyle w:val="a3"/>
              <w:spacing w:line="360" w:lineRule="auto"/>
              <w:ind w:left="420"/>
              <w:jc w:val="both"/>
              <w:rPr>
                <w:rFonts w:ascii="Arial" w:hAnsi="Arial"/>
                <w:noProof w:val="0"/>
                <w:rtl/>
              </w:rPr>
            </w:pPr>
            <w:r>
              <w:rPr>
                <w:rFonts w:ascii="Arial" w:hAnsi="Arial"/>
                <w:noProof w:val="0"/>
                <w:rtl/>
              </w:rPr>
              <w:lastRenderedPageBreak/>
              <w:t xml:space="preserve">לאחר שהוגשו תגובות המשיב 1 ז"ל וכונס הנכסים (מטעם יתר המשיבים לא הוגש מאום), נדחתה הבקשה לעיכוב הביצוע, והמבקשת נדרשה להבהיר האם בעקבות זאת היא עומדת על בקשת רשות הערעור. </w:t>
            </w:r>
          </w:p>
          <w:p w:rsidR="00335ED6" w:rsidRDefault="00335ED6">
            <w:pPr>
              <w:pStyle w:val="a3"/>
              <w:ind w:left="420"/>
              <w:jc w:val="both"/>
              <w:rPr>
                <w:rFonts w:ascii="Arial" w:hAnsi="Arial"/>
                <w:noProof w:val="0"/>
                <w:rtl/>
              </w:rPr>
            </w:pPr>
          </w:p>
          <w:p w:rsidR="00335ED6" w:rsidRDefault="00335ED6">
            <w:pPr>
              <w:pStyle w:val="a3"/>
              <w:spacing w:line="360" w:lineRule="auto"/>
              <w:ind w:left="420"/>
              <w:jc w:val="both"/>
              <w:rPr>
                <w:rFonts w:ascii="Arial" w:hAnsi="Arial"/>
                <w:noProof w:val="0"/>
                <w:rtl/>
              </w:rPr>
            </w:pPr>
            <w:r>
              <w:rPr>
                <w:rFonts w:ascii="Arial" w:hAnsi="Arial"/>
                <w:noProof w:val="0"/>
                <w:rtl/>
              </w:rPr>
              <w:t xml:space="preserve">עקב התרחשויות שונות לרבות פטירתו הפתאומית של המשיב 1 ופניית כונס הנכסים בעניין, הושהה ההליך כאן עד לקבלת עדכון באשר להתפתחויות בהליך קמא. </w:t>
            </w:r>
          </w:p>
          <w:p w:rsidR="00335ED6" w:rsidRDefault="00335ED6">
            <w:pPr>
              <w:pStyle w:val="a3"/>
              <w:spacing w:line="360" w:lineRule="auto"/>
              <w:ind w:left="420"/>
              <w:jc w:val="both"/>
              <w:rPr>
                <w:rFonts w:ascii="Arial" w:hAnsi="Arial"/>
                <w:noProof w:val="0"/>
                <w:rtl/>
              </w:rPr>
            </w:pPr>
          </w:p>
          <w:p w:rsidR="00335ED6" w:rsidRDefault="00335ED6">
            <w:pPr>
              <w:pStyle w:val="a3"/>
              <w:spacing w:line="360" w:lineRule="auto"/>
              <w:ind w:left="420"/>
              <w:jc w:val="both"/>
              <w:rPr>
                <w:rFonts w:ascii="Arial" w:hAnsi="Arial"/>
                <w:noProof w:val="0"/>
                <w:rtl/>
              </w:rPr>
            </w:pPr>
            <w:r>
              <w:rPr>
                <w:rFonts w:ascii="Arial" w:hAnsi="Arial"/>
                <w:noProof w:val="0"/>
                <w:rtl/>
              </w:rPr>
              <w:t>ביום 16.09.2024 הגיש כונס הנכסים עדכון לבית המשפט קמא לפיו התקיימה באותו יום ישיבת התמחרות נוספת בין המבקשת והמציע החדש בסופה הוכרזה המבקשת כזוכה, ובהתאם לתוצאות ההתמחרות היא זכאית לרכוש הזכויות בנכס תמורת הסך של 7,500,000 ₪, בתוספת מע"מ.</w:t>
            </w:r>
          </w:p>
          <w:p w:rsidR="00335ED6" w:rsidRDefault="00335ED6">
            <w:pPr>
              <w:pStyle w:val="a3"/>
              <w:ind w:left="420"/>
              <w:jc w:val="both"/>
              <w:rPr>
                <w:rFonts w:ascii="Arial" w:hAnsi="Arial"/>
                <w:noProof w:val="0"/>
                <w:rtl/>
              </w:rPr>
            </w:pPr>
          </w:p>
          <w:p w:rsidR="00335ED6" w:rsidRDefault="00335ED6">
            <w:pPr>
              <w:pStyle w:val="a3"/>
              <w:spacing w:line="360" w:lineRule="auto"/>
              <w:ind w:left="420"/>
              <w:jc w:val="both"/>
              <w:rPr>
                <w:rFonts w:ascii="Arial" w:hAnsi="Arial"/>
                <w:noProof w:val="0"/>
                <w:rtl/>
              </w:rPr>
            </w:pPr>
            <w:r>
              <w:rPr>
                <w:rFonts w:ascii="Arial" w:hAnsi="Arial"/>
                <w:noProof w:val="0"/>
                <w:rtl/>
              </w:rPr>
              <w:t xml:space="preserve">ביום 22.09.2024 הגישה המבקשת הודעת עדכון בהליך דנא במסגרתה הועלו טענות שלא בא זכרן בפני בית המשפט קמא, הנסבות סביב אי התקינות של הליך ההתמחרות מיום 16.09.2024, והבהירה, כי  בשל כך היא עומדת על בקשת רשות הערעור.  </w:t>
            </w:r>
          </w:p>
          <w:p w:rsidR="00335ED6" w:rsidRDefault="00335ED6">
            <w:pPr>
              <w:rPr>
                <w:rFonts w:ascii="Arial" w:hAnsi="Arial"/>
                <w:noProof w:val="0"/>
                <w:rtl/>
              </w:rPr>
            </w:pPr>
          </w:p>
          <w:p w:rsidR="00335ED6" w:rsidRDefault="00335ED6">
            <w:pPr>
              <w:pStyle w:val="a3"/>
              <w:spacing w:line="360" w:lineRule="auto"/>
              <w:ind w:left="420"/>
              <w:jc w:val="both"/>
              <w:rPr>
                <w:rFonts w:ascii="Arial" w:hAnsi="Arial"/>
                <w:noProof w:val="0"/>
                <w:rtl/>
              </w:rPr>
            </w:pPr>
            <w:r>
              <w:rPr>
                <w:rFonts w:ascii="Arial" w:hAnsi="Arial"/>
                <w:noProof w:val="0"/>
                <w:rtl/>
              </w:rPr>
              <w:t>בהינתן האמור וטענותיה החדשות, אשר, כאמור, כלל לא הובאו בפני הערכאה הדיונית, התבקשה שוב המבקשת להבהיר האם היא עומדת על בקשת רשות הערעור.</w:t>
            </w:r>
          </w:p>
          <w:p w:rsidR="00335ED6" w:rsidRDefault="00335ED6">
            <w:pPr>
              <w:pStyle w:val="a3"/>
              <w:spacing w:line="360" w:lineRule="auto"/>
              <w:ind w:left="420"/>
              <w:jc w:val="both"/>
              <w:rPr>
                <w:rFonts w:ascii="Arial" w:hAnsi="Arial"/>
                <w:noProof w:val="0"/>
              </w:rPr>
            </w:pPr>
            <w:r>
              <w:rPr>
                <w:rFonts w:ascii="Arial" w:hAnsi="Arial"/>
                <w:noProof w:val="0"/>
                <w:rtl/>
              </w:rPr>
              <w:t xml:space="preserve">המבקשת השיבה בחיוב, ומכאן החלטה זו.  </w:t>
            </w:r>
          </w:p>
          <w:p w:rsidR="00335ED6" w:rsidRDefault="00335ED6">
            <w:pPr>
              <w:pStyle w:val="a3"/>
              <w:ind w:left="420"/>
              <w:jc w:val="both"/>
              <w:rPr>
                <w:rFonts w:ascii="Arial" w:hAnsi="Arial"/>
                <w:noProof w:val="0"/>
                <w:rtl/>
              </w:rPr>
            </w:pPr>
          </w:p>
          <w:p w:rsidR="00335ED6" w:rsidRDefault="00335ED6">
            <w:pPr>
              <w:ind w:left="420"/>
              <w:jc w:val="both"/>
              <w:rPr>
                <w:rFonts w:ascii="Arial" w:hAnsi="Arial"/>
                <w:b/>
                <w:bCs/>
                <w:noProof w:val="0"/>
                <w:u w:val="single"/>
              </w:rPr>
            </w:pPr>
          </w:p>
          <w:p w:rsidR="00335ED6" w:rsidRDefault="00335ED6">
            <w:pPr>
              <w:pStyle w:val="a3"/>
              <w:spacing w:line="360" w:lineRule="auto"/>
              <w:ind w:left="420"/>
              <w:jc w:val="both"/>
              <w:rPr>
                <w:rFonts w:ascii="Arial" w:hAnsi="Arial"/>
                <w:noProof w:val="0"/>
              </w:rPr>
            </w:pPr>
            <w:r>
              <w:rPr>
                <w:rFonts w:ascii="Arial" w:hAnsi="Arial"/>
                <w:b/>
                <w:bCs/>
                <w:noProof w:val="0"/>
                <w:rtl/>
              </w:rPr>
              <w:t xml:space="preserve">בבקשת רשות הערעור </w:t>
            </w:r>
            <w:r>
              <w:rPr>
                <w:rFonts w:ascii="Arial" w:hAnsi="Arial"/>
                <w:noProof w:val="0"/>
                <w:rtl/>
              </w:rPr>
              <w:t>טוענת המבקשת, כי נפלו שגיאות מהותיות בהחלטה מושא בקשת רשות הערעור, בין היתר בעקבות ניהול הליך "דל ומהיר" ובלא שניתן משקל ראוי לכך שלא הייתה מניעה לאישור הסכם המכר, אף כי טרם אושר בפועל; כי לא ניתן משקל ראוי להסתמכותה המוגברת ולאינטרס הציפייה שלה שנפגע לאחר שהשקיעה בהליך ההתמחרות ממיטב מרצה, זמנה וכספה; כי בית המשפט לא בחן כדבעי טענת השיהוי בהגשת ההצעה המאוחרת ולא נתן דעתו לכך שלא הוצג הסבר מניח את הדעת לשיהוי זה; כי לא ניתנה למבקשת האפשרות להשוות הצעתה להצעת המציע המאוחר חלף עריכת התמחרות מחודשת, על אף שמדובר בסעד דרסטי פחות, ובהתאם לפסיקה הנוהגת העדפת הצעה מאוחרת יותר תיעשה במקרים חריגים בלבד, ומקרה זה אינו בא בגדרם; כי לא ניתן משקל להתנהלות בעלי הדין בהליך קמא, אשר לאחר חתימת הליך ההתמחרות פנו מיוזמתם למציע החדש כדי שיציע עבור הנכס תמורה גבוהה יותר מן ההצעה הזוכה.</w:t>
            </w:r>
          </w:p>
          <w:p w:rsidR="00335ED6" w:rsidRDefault="00335ED6">
            <w:pPr>
              <w:pStyle w:val="a3"/>
              <w:spacing w:line="360" w:lineRule="auto"/>
              <w:ind w:left="0"/>
              <w:jc w:val="both"/>
              <w:rPr>
                <w:rFonts w:ascii="Arial" w:hAnsi="Arial"/>
                <w:b/>
                <w:bCs/>
                <w:noProof w:val="0"/>
              </w:rPr>
            </w:pPr>
          </w:p>
          <w:p w:rsidR="00335ED6" w:rsidRDefault="00335ED6">
            <w:pPr>
              <w:pStyle w:val="a3"/>
              <w:spacing w:line="360" w:lineRule="auto"/>
              <w:ind w:left="420"/>
              <w:jc w:val="both"/>
              <w:rPr>
                <w:rFonts w:ascii="Arial" w:hAnsi="Arial"/>
                <w:noProof w:val="0"/>
                <w:rtl/>
              </w:rPr>
            </w:pPr>
            <w:r>
              <w:rPr>
                <w:rFonts w:ascii="Arial" w:hAnsi="Arial"/>
                <w:b/>
                <w:bCs/>
                <w:noProof w:val="0"/>
                <w:rtl/>
              </w:rPr>
              <w:t>בתגובת המבקשת מיום 28.10.2024, אשר הוגשה לאחר קיום ההתמחרות הנוספת והדרישה לקבלת עמדתה בעניין המשך בירור ההליך דנא</w:t>
            </w:r>
            <w:r>
              <w:rPr>
                <w:rFonts w:ascii="Arial" w:hAnsi="Arial"/>
                <w:noProof w:val="0"/>
                <w:rtl/>
              </w:rPr>
              <w:t xml:space="preserve"> נטען על ידה, כי משאינה צד להליך המתנהל בבית המשפט קמא, היא אינה חשופה להתנהלות שם ומנועה מהגשת כתבי בי דין לתיק ולכן האמצעי היחיד העומד לרשותה לביטול הליך ההתמחרות הנוסף הוא פניה לערכאת הערעור במטרה לבטל ההחלטה המורה על קיום הליך התמחרות נוסף; כי התנהלות בעלי הדין בהליך קמא נגועה בחוסר תום לב, ולמעשה הם עשו קנוניה עם המציע החדש, אשר כלל לא התכוון לרכוש הזכויות בנכס, </w:t>
            </w:r>
            <w:r>
              <w:rPr>
                <w:rFonts w:ascii="Arial" w:hAnsi="Arial"/>
                <w:noProof w:val="0"/>
                <w:rtl/>
              </w:rPr>
              <w:lastRenderedPageBreak/>
              <w:t xml:space="preserve">ביודעם שנטוש סכסוך בינו ובין המבקשת, וההצעה החדשה באה לעולם רק כדי לגרום לה להעלות המחיר שהוצע על ידה ובכך לפגוע בה כלכלית; לדידה, אין בתיאור ההתרחשויות בהליך קמא לאחר מתן ההחלטה מושא בקשת רשות הערעור משום הרחבת חזית, כי אם תמיכה בטענותיה לפיהן לא היה מקום להורות על קיום הליך התמחרות נוסף; המבקשת מבהירה, כי היא עומדת על בקשת רשות הערעור כדי למנוע פגיעה חמורה בזכויותיה, ולעניין זה טוענת, כי גם אם תצורף כעת כצד להליך קמא ותאלץ להמתין לקבלת פסק דין סופי, ייגרם לה ולמשיבים נזק של ממש בעקבות העיכוב במכירה, היות שהמכר בהתאם לזכייה בהתמחרות הנוספת לא ייצא לפועל.  </w:t>
            </w:r>
          </w:p>
          <w:p w:rsidR="00335ED6" w:rsidRDefault="00335ED6">
            <w:pPr>
              <w:pStyle w:val="a3"/>
              <w:ind w:left="420"/>
              <w:jc w:val="both"/>
              <w:rPr>
                <w:rFonts w:ascii="Arial" w:hAnsi="Arial"/>
                <w:noProof w:val="0"/>
                <w:rtl/>
              </w:rPr>
            </w:pPr>
          </w:p>
          <w:p w:rsidR="00335ED6" w:rsidRDefault="00335ED6">
            <w:pPr>
              <w:pStyle w:val="a3"/>
              <w:spacing w:line="360" w:lineRule="auto"/>
              <w:ind w:left="420"/>
              <w:jc w:val="both"/>
              <w:rPr>
                <w:rFonts w:ascii="Arial" w:hAnsi="Arial"/>
                <w:noProof w:val="0"/>
                <w:rtl/>
              </w:rPr>
            </w:pPr>
            <w:r>
              <w:rPr>
                <w:rFonts w:ascii="Arial" w:hAnsi="Arial"/>
                <w:noProof w:val="0"/>
                <w:rtl/>
              </w:rPr>
              <w:t xml:space="preserve">יצוין, כי המשיבים לא נדרשו להשיב לבקשת רשות הערעור, ברם ביום 14.11.2024 הוגשה תגובת המשיב 1 על דעת מי מטעמו. </w:t>
            </w:r>
          </w:p>
          <w:p w:rsidR="00335ED6" w:rsidRDefault="00335ED6">
            <w:pPr>
              <w:pStyle w:val="a3"/>
              <w:spacing w:line="360" w:lineRule="auto"/>
              <w:ind w:left="0"/>
              <w:jc w:val="both"/>
              <w:rPr>
                <w:rFonts w:ascii="Arial" w:hAnsi="Arial"/>
                <w:noProof w:val="0"/>
                <w:rtl/>
              </w:rPr>
            </w:pPr>
          </w:p>
          <w:p w:rsidR="00335ED6" w:rsidRDefault="00335ED6">
            <w:pPr>
              <w:pStyle w:val="a3"/>
              <w:spacing w:line="360" w:lineRule="auto"/>
              <w:ind w:left="420"/>
              <w:jc w:val="both"/>
              <w:rPr>
                <w:rFonts w:ascii="Arial" w:hAnsi="Arial"/>
                <w:noProof w:val="0"/>
                <w:rtl/>
              </w:rPr>
            </w:pPr>
            <w:r>
              <w:rPr>
                <w:rFonts w:ascii="Arial" w:hAnsi="Arial"/>
                <w:noProof w:val="0"/>
                <w:rtl/>
              </w:rPr>
              <w:t>בנסיבות העניין ובשים לב לאופי ההליך קמא ולבקשת רשות הערעור שלפניי, איני רואה צורך להתייחס במסגרת ההחלטה דנא לתשובת המשיב 1.</w:t>
            </w:r>
          </w:p>
          <w:p w:rsidR="00335ED6" w:rsidRDefault="00335ED6">
            <w:pPr>
              <w:ind w:left="420"/>
              <w:jc w:val="both"/>
              <w:rPr>
                <w:rFonts w:ascii="Arial" w:hAnsi="Arial"/>
                <w:noProof w:val="0"/>
                <w:rtl/>
              </w:rPr>
            </w:pPr>
          </w:p>
          <w:p w:rsidR="00335ED6" w:rsidRDefault="00335ED6">
            <w:pPr>
              <w:jc w:val="both"/>
              <w:rPr>
                <w:rFonts w:ascii="Arial" w:hAnsi="Arial"/>
                <w:noProof w:val="0"/>
                <w:rtl/>
              </w:rPr>
            </w:pPr>
          </w:p>
          <w:p w:rsidR="00335ED6" w:rsidRDefault="00335ED6">
            <w:pPr>
              <w:jc w:val="left"/>
              <w:rPr>
                <w:rFonts w:ascii="Arial" w:hAnsi="Arial"/>
                <w:b/>
                <w:bCs/>
                <w:noProof w:val="0"/>
                <w:sz w:val="28"/>
                <w:szCs w:val="28"/>
                <w:u w:val="single"/>
                <w:rtl/>
              </w:rPr>
            </w:pPr>
            <w:r>
              <w:rPr>
                <w:rFonts w:ascii="Arial" w:hAnsi="Arial"/>
                <w:b/>
                <w:bCs/>
                <w:noProof w:val="0"/>
                <w:sz w:val="26"/>
                <w:szCs w:val="26"/>
                <w:u w:val="single"/>
                <w:rtl/>
              </w:rPr>
              <w:t xml:space="preserve">דיון והכרעה </w:t>
            </w:r>
          </w:p>
        </w:tc>
      </w:tr>
      <w:tr w:rsidR="00335ED6" w:rsidTr="00335ED6">
        <w:trPr>
          <w:jc w:val="center"/>
        </w:trPr>
        <w:tc>
          <w:tcPr>
            <w:tcW w:w="9036" w:type="dxa"/>
          </w:tcPr>
          <w:p w:rsidR="00335ED6" w:rsidRDefault="00335ED6">
            <w:pPr>
              <w:bidi w:val="0"/>
              <w:rPr>
                <w:rFonts w:ascii="Arial" w:hAnsi="Arial"/>
                <w:b/>
                <w:bCs/>
                <w:noProof w:val="0"/>
                <w:sz w:val="32"/>
                <w:szCs w:val="32"/>
                <w:u w:val="single"/>
              </w:rPr>
            </w:pPr>
          </w:p>
        </w:tc>
      </w:tr>
    </w:tbl>
    <w:p w:rsidR="00335ED6" w:rsidRDefault="00335ED6" w:rsidP="00335ED6">
      <w:pPr>
        <w:spacing w:line="360" w:lineRule="auto"/>
        <w:ind w:left="-199"/>
        <w:jc w:val="both"/>
        <w:rPr>
          <w:rFonts w:ascii="Arial" w:hAnsi="Arial"/>
          <w:b/>
          <w:bCs/>
          <w:noProof w:val="0"/>
        </w:rPr>
      </w:pPr>
      <w:r>
        <w:rPr>
          <w:rFonts w:ascii="Arial" w:hAnsi="Arial"/>
          <w:b/>
          <w:bCs/>
          <w:noProof w:val="0"/>
          <w:rtl/>
        </w:rPr>
        <w:t>לאחר שבחנתי טענות הצדדים ועיינתי בתיק המתנהל בבית המשפט קמא, על יסוד הוראות תקנות 138(א)(1) לתקנות סדר הדין האזרחי, תשע"ט-2018, באתי לכלל מסקנה, כי דין הבקשה להידחות, אף ללא צורך בתשובת המשיבים או מי מהם לגוף בקשת רשות הערעור, מהנימוקים שיפורטו להלן.</w:t>
      </w:r>
    </w:p>
    <w:p w:rsidR="00335ED6" w:rsidRDefault="00335ED6" w:rsidP="00335ED6">
      <w:pPr>
        <w:pStyle w:val="a3"/>
        <w:ind w:left="-199"/>
        <w:jc w:val="both"/>
        <w:rPr>
          <w:rFonts w:ascii="Arial" w:hAnsi="Arial"/>
          <w:b/>
          <w:bCs/>
          <w:noProof w:val="0"/>
          <w:rtl/>
        </w:rPr>
      </w:pPr>
    </w:p>
    <w:p w:rsidR="00335ED6" w:rsidRDefault="00335ED6" w:rsidP="00335ED6">
      <w:pPr>
        <w:pStyle w:val="2"/>
        <w:ind w:left="-199"/>
      </w:pPr>
      <w:r>
        <w:rPr>
          <w:u w:val="single"/>
          <w:rtl/>
        </w:rPr>
        <w:t>האם זכיה בהתמחרות היא סוף פסוק</w:t>
      </w:r>
      <w:r>
        <w:rPr>
          <w:rtl/>
        </w:rPr>
        <w:t>?</w:t>
      </w:r>
    </w:p>
    <w:p w:rsidR="00335ED6" w:rsidRDefault="00335ED6" w:rsidP="00335ED6">
      <w:pPr>
        <w:pStyle w:val="2"/>
        <w:ind w:left="-199"/>
      </w:pPr>
      <w:r>
        <w:rPr>
          <w:rtl/>
        </w:rPr>
        <w:t xml:space="preserve">ככלל, במקרים בהם המכר כבר אושר על ידי בית המשפט, העסקה לא תבוטל, אלא מטעמים חריגים. לעומת זאת, במקרה שבו המכר טרם אושר, הפסיקה מכירה באפשרות לקבלת הצעה מאוחרת גבוהה יותר [י' שקד </w:t>
      </w:r>
      <w:hyperlink r:id="rId5" w:history="1">
        <w:r>
          <w:rPr>
            <w:rStyle w:val="Hyperlink"/>
            <w:b/>
            <w:bCs/>
            <w:color w:val="000000"/>
            <w:rtl/>
          </w:rPr>
          <w:t>פירוק שיתוף במקרקעין</w:t>
        </w:r>
      </w:hyperlink>
      <w:r>
        <w:rPr>
          <w:rtl/>
        </w:rPr>
        <w:t xml:space="preserve"> </w:t>
      </w:r>
      <w:r>
        <w:rPr>
          <w:rFonts w:hint="cs"/>
          <w:rtl/>
        </w:rPr>
        <w:t xml:space="preserve">(התש"ף-2020), עמ' 226-227]. </w:t>
      </w:r>
    </w:p>
    <w:p w:rsidR="00335ED6" w:rsidRDefault="00335ED6" w:rsidP="00335ED6">
      <w:pPr>
        <w:pStyle w:val="2"/>
        <w:ind w:left="-199"/>
        <w:rPr>
          <w:rtl/>
        </w:rPr>
      </w:pPr>
    </w:p>
    <w:p w:rsidR="00335ED6" w:rsidRDefault="00335ED6" w:rsidP="00335ED6">
      <w:pPr>
        <w:pStyle w:val="2"/>
        <w:ind w:left="-199"/>
        <w:rPr>
          <w:sz w:val="24"/>
          <w:rtl/>
        </w:rPr>
      </w:pPr>
      <w:r>
        <w:rPr>
          <w:rtl/>
        </w:rPr>
        <w:lastRenderedPageBreak/>
        <w:t xml:space="preserve">בע"א 509/00 </w:t>
      </w:r>
      <w:r>
        <w:rPr>
          <w:b/>
          <w:bCs/>
          <w:rtl/>
        </w:rPr>
        <w:t>לוי נ' ברכה</w:t>
      </w:r>
      <w:r>
        <w:rPr>
          <w:rtl/>
        </w:rPr>
        <w:t xml:space="preserve">, פ"ד נה(4) 410 </w:t>
      </w:r>
      <w:r>
        <w:rPr>
          <w:sz w:val="24"/>
          <w:rtl/>
        </w:rPr>
        <w:t xml:space="preserve">עסק בית המשפט העליון בשאלה זו (במסגרת הליך של מכר מקרקעין של חייב) ופסק, </w:t>
      </w:r>
      <w:r>
        <w:rPr>
          <w:rtl/>
        </w:rPr>
        <w:t xml:space="preserve">כי ניתן יהיה לקבל הצעה מאוחרת גבוהה יותר במקרים חריגים ובנסיבות מיוחדות, וכי יש להציג </w:t>
      </w:r>
      <w:r>
        <w:rPr>
          <w:sz w:val="24"/>
          <w:rtl/>
        </w:rPr>
        <w:t xml:space="preserve">הסבר מניח את הדעת לאיחור בהגשת ההצעה. </w:t>
      </w:r>
    </w:p>
    <w:p w:rsidR="00335ED6" w:rsidRDefault="00335ED6" w:rsidP="00335ED6">
      <w:pPr>
        <w:pStyle w:val="2"/>
        <w:ind w:left="-199"/>
        <w:rPr>
          <w:sz w:val="24"/>
          <w:rtl/>
        </w:rPr>
      </w:pPr>
      <w:r>
        <w:rPr>
          <w:rtl/>
        </w:rPr>
        <w:t>בתוך כך נקבע, כי יש לאזן בין האינטרס של השאת תמורת המכר מצד אחד, ובין עיקרון הסופיות של הליכי המכר והפגיעה האפשרית במציע הראשון ובצדדים שלישיים נוספים לצד הצורך בביטחון וביציבות בהליך והפגיעה ארוכת הטווח בהליכי מימוש נכסים מן העבר השני</w:t>
      </w:r>
      <w:r>
        <w:rPr>
          <w:sz w:val="24"/>
          <w:rtl/>
        </w:rPr>
        <w:t xml:space="preserve">; </w:t>
      </w:r>
      <w:r>
        <w:rPr>
          <w:rtl/>
        </w:rPr>
        <w:t>כן נקבע, כי יש לתת משקל אף להתנהלות המציע המאוחר ולסיבה שבגינה הוא איחר בהגשת הצעתו</w:t>
      </w:r>
      <w:r>
        <w:rPr>
          <w:sz w:val="24"/>
          <w:rtl/>
        </w:rPr>
        <w:t>.</w:t>
      </w:r>
    </w:p>
    <w:p w:rsidR="00335ED6" w:rsidRDefault="00335ED6" w:rsidP="00335ED6">
      <w:pPr>
        <w:pStyle w:val="2"/>
        <w:ind w:left="-625"/>
        <w:rPr>
          <w:sz w:val="24"/>
          <w:rtl/>
        </w:rPr>
      </w:pPr>
    </w:p>
    <w:p w:rsidR="00335ED6" w:rsidRDefault="00335ED6" w:rsidP="00335ED6">
      <w:pPr>
        <w:pStyle w:val="2"/>
        <w:ind w:left="-199"/>
        <w:rPr>
          <w:sz w:val="24"/>
          <w:rtl/>
        </w:rPr>
      </w:pPr>
      <w:r>
        <w:rPr>
          <w:sz w:val="24"/>
          <w:rtl/>
        </w:rPr>
        <w:t>גם הפסיקה המאוחרת יותר מחדדת השיקולים והאינטרסים המושלים בכגון דא בכיפה, וניתן לראות בה ביטוי לתפיסה גמישה יותר המציבה דרישות מחמירות פחות לקבלת הצעה מאוחרת מקום בו יש בה כדי להשיא התמורה עבור הנכס.</w:t>
      </w:r>
    </w:p>
    <w:p w:rsidR="00335ED6" w:rsidRDefault="00335ED6" w:rsidP="00335ED6">
      <w:pPr>
        <w:pStyle w:val="2"/>
        <w:ind w:left="-199"/>
        <w:rPr>
          <w:sz w:val="24"/>
          <w:rtl/>
        </w:rPr>
      </w:pPr>
      <w:r>
        <w:rPr>
          <w:sz w:val="24"/>
          <w:rtl/>
        </w:rPr>
        <w:t xml:space="preserve">כך, למשל, ב-רע"א 8305/01 </w:t>
      </w:r>
      <w:r>
        <w:rPr>
          <w:b/>
          <w:bCs/>
          <w:sz w:val="24"/>
          <w:rtl/>
        </w:rPr>
        <w:t xml:space="preserve">הסתדרות מדיצנית הדסה נ' שורר </w:t>
      </w:r>
      <w:r>
        <w:rPr>
          <w:sz w:val="24"/>
          <w:rtl/>
        </w:rPr>
        <w:t xml:space="preserve">(פורסם במאגרים האלקטרוניים) ניתנה עדיפות לאינטרס של השאת התמורה, תוך שבית המשפט העליון עמד על כך שהליך התמחרות שונה משיטת המכרז וגמיש יותר, ולכן ניתן משקל שונה לעקרון הסופיות ולהסתמכות הזוכה בהתמחרות. </w:t>
      </w:r>
    </w:p>
    <w:p w:rsidR="00335ED6" w:rsidRDefault="00335ED6" w:rsidP="00335ED6">
      <w:pPr>
        <w:pStyle w:val="2"/>
        <w:ind w:left="-199"/>
        <w:rPr>
          <w:sz w:val="24"/>
          <w:rtl/>
        </w:rPr>
      </w:pPr>
    </w:p>
    <w:p w:rsidR="00335ED6" w:rsidRDefault="00335ED6" w:rsidP="00335ED6">
      <w:pPr>
        <w:pStyle w:val="2"/>
        <w:ind w:left="-199"/>
        <w:rPr>
          <w:sz w:val="24"/>
          <w:rtl/>
        </w:rPr>
      </w:pPr>
      <w:r>
        <w:rPr>
          <w:sz w:val="24"/>
          <w:rtl/>
        </w:rPr>
        <w:lastRenderedPageBreak/>
        <w:t xml:space="preserve">ב-בע"מ 8788/10 </w:t>
      </w:r>
      <w:r>
        <w:rPr>
          <w:b/>
          <w:bCs/>
          <w:sz w:val="24"/>
          <w:rtl/>
        </w:rPr>
        <w:t>פלוני נ' פלוני</w:t>
      </w:r>
      <w:r>
        <w:rPr>
          <w:sz w:val="24"/>
          <w:rtl/>
        </w:rPr>
        <w:t xml:space="preserve"> (פורסם במאגרים האלקטרוניים), אושרה הגשת הצעה המשפרת את התמורה המוצעת, ונקבע, כי הפרש של 2 מיליון ש"ח בין ההצעות הוא משמעותי ויש בו להצדיק, בנסיבות העניין שם, חידוש ההתמחרות למען השאת התמורה, וכפי שנקבע שם לאמור</w:t>
      </w:r>
      <w:r>
        <w:rPr>
          <w:rtl/>
        </w:rPr>
        <w:t xml:space="preserve">: </w:t>
      </w:r>
    </w:p>
    <w:p w:rsidR="00335ED6" w:rsidRDefault="00335ED6" w:rsidP="00335ED6">
      <w:pPr>
        <w:pStyle w:val="10"/>
        <w:spacing w:before="240"/>
        <w:ind w:left="1440"/>
        <w:rPr>
          <w:rtl/>
        </w:rPr>
      </w:pPr>
      <w:r>
        <w:rPr>
          <w:b/>
          <w:bCs/>
          <w:rtl/>
        </w:rPr>
        <w:t>"הצעת המבקשים לא קיבלה אישור בית משפט. באף אחד משלבי ההליך לא נכרת הסכם מכר סופי ולא הוצג בפני המבקשים מצג לפיו ההליך הסתיים לחלוטין. לאמור: המכר לא אושר ולא הושלם [..] ההפרש בין ההצעות של המבקשים לעומת הקבוצה הוא משמעותי – מעל ל-2 מליון שקל. בעניין ברכה הדגיש בית משפט זה כי 'התמורה שהוצעה על ידו בסופו של התהליך לא נשאה עמה יתרון כלכלי בולט ומכריע שהיה בו כדי להטות את הכף' (שם. פסקה 13)...לשון אחרת: המדובר בעסקת מכר שטרם אושרה, כאשר קבלת העסקה האחרת כרוכה במשמעות כלכלית מיוחדת של למעלה משני מיליון בין ההצעות"</w:t>
      </w:r>
      <w:r>
        <w:rPr>
          <w:rtl/>
        </w:rPr>
        <w:t xml:space="preserve"> (בפסקה 3). </w:t>
      </w:r>
    </w:p>
    <w:p w:rsidR="00335ED6" w:rsidRDefault="00335ED6" w:rsidP="00335ED6">
      <w:pPr>
        <w:pStyle w:val="10"/>
        <w:spacing w:before="240"/>
        <w:ind w:left="-625"/>
        <w:rPr>
          <w:sz w:val="20"/>
          <w:rtl/>
        </w:rPr>
      </w:pPr>
    </w:p>
    <w:p w:rsidR="00335ED6" w:rsidRDefault="00335ED6" w:rsidP="00335ED6">
      <w:pPr>
        <w:pStyle w:val="2"/>
        <w:ind w:left="-199"/>
        <w:rPr>
          <w:rtl/>
        </w:rPr>
      </w:pPr>
      <w:r>
        <w:rPr>
          <w:rtl/>
        </w:rPr>
        <w:t>בענייננו מצאתי, כי צדק בית המשפט קמא בהעדיפו האינטרס של השאת התמורה על פני אינטרס ההסתמכות של המבקשת, וכי איזן נכונה ביניהם, בפרט על רקע נסיבות המקרה: העובדה כי טרם אושרה ע"י בית המשפט ההצעה הזוכה בהתמחרות הראשונה וטרם נחתם הסכם מכר; מיקום הנכס ב</w:t>
      </w:r>
      <w:r>
        <w:rPr>
          <w:rFonts w:hint="cs"/>
          <w:rtl/>
        </w:rPr>
        <w:t>....</w:t>
      </w:r>
      <w:r>
        <w:rPr>
          <w:rtl/>
        </w:rPr>
        <w:t xml:space="preserve"> אשר בזמנים הרלוונטיים למחלוקת שבלב הדיון שלפנינו נתונה הייתה במצב בטחוני מורכב; פרק זמן קצר מאד, של ימים ספורים, בין מועד ההתמחרות הראשונה ובין הגשת ההצעה החדשה; הפער המשמעותי בין גובה ההצעה החדשה להצעה שזכתה בהתמחרות הראשונה ועומד על 850,000 ₪ (ושיעורו 16.5% ממנה). </w:t>
      </w:r>
    </w:p>
    <w:p w:rsidR="00335ED6" w:rsidRDefault="00335ED6" w:rsidP="00335ED6">
      <w:pPr>
        <w:pStyle w:val="2"/>
        <w:ind w:left="-199"/>
      </w:pPr>
    </w:p>
    <w:p w:rsidR="00335ED6" w:rsidRDefault="00335ED6" w:rsidP="00335ED6">
      <w:pPr>
        <w:pStyle w:val="2"/>
        <w:ind w:left="-199"/>
        <w:rPr>
          <w:rtl/>
        </w:rPr>
      </w:pPr>
      <w:r>
        <w:rPr>
          <w:rtl/>
        </w:rPr>
        <w:lastRenderedPageBreak/>
        <w:t xml:space="preserve">ודוק, בנסיבות המקרה דנא שוכנעתי, כי אין בהחלטה מושא בקשת רשות הערעור כדי לפגוע בתקינות הליכי כינוס הנכסים, ואף לא בהגינותם ובעקרון היסוד של שוויון בין המציעים. </w:t>
      </w:r>
    </w:p>
    <w:p w:rsidR="00335ED6" w:rsidRDefault="00335ED6" w:rsidP="00335ED6">
      <w:pPr>
        <w:pStyle w:val="2"/>
        <w:ind w:left="-199"/>
        <w:rPr>
          <w:rtl/>
        </w:rPr>
      </w:pPr>
    </w:p>
    <w:p w:rsidR="00335ED6" w:rsidRDefault="00335ED6" w:rsidP="00335ED6">
      <w:pPr>
        <w:pStyle w:val="2"/>
        <w:ind w:left="-199"/>
        <w:rPr>
          <w:rtl/>
        </w:rPr>
      </w:pPr>
      <w:r>
        <w:rPr>
          <w:rtl/>
        </w:rPr>
        <w:t xml:space="preserve">עוד יובהר, כי צדק בית המשפט קמא בקבעו שמעבר לטענת המבקשת לפיה אינטרס ההסתמכות שלה נפגע וכי נגרם לה נזק כלכלי, לא הוצגה על ידה כל ראיה שהיא התומכת בטענה זו. </w:t>
      </w:r>
    </w:p>
    <w:p w:rsidR="00335ED6" w:rsidRDefault="00335ED6" w:rsidP="00335ED6">
      <w:pPr>
        <w:pStyle w:val="2"/>
        <w:ind w:left="-199"/>
        <w:rPr>
          <w:rtl/>
        </w:rPr>
      </w:pPr>
      <w:r>
        <w:rPr>
          <w:rtl/>
        </w:rPr>
        <w:t xml:space="preserve">מובן, כי תקוותה לרכישת הזכויות בנכס תמורת הסכום שהוצע על ידה וזכה בהתמחרות נכזבה, ברם לא מצאתי כי בנסיבות המקרה שלפנינו די היה בכך כדי לדחות בקשתם של בעלי הזכויות בנכס לקיום התמחרות נוספת, שבאה אל העולם שבוע ימים בלבד לאחר ההתמחרות בה זכתה המבקשת, ובכך, למעשה, למקסם התמורה עבור הנכס וכפועל יוצא מכך גם להגשים באופן מיטבי זכות הקניין שלהם, שהיא, כידוע, זכות יסוד במשפטנו, הנהנית ממעמד חוקתי על חוקי.  </w:t>
      </w:r>
    </w:p>
    <w:p w:rsidR="00335ED6" w:rsidRDefault="00335ED6" w:rsidP="00335ED6">
      <w:pPr>
        <w:pStyle w:val="2"/>
        <w:ind w:left="-199"/>
        <w:rPr>
          <w:rtl/>
        </w:rPr>
      </w:pPr>
      <w:r>
        <w:rPr>
          <w:rtl/>
        </w:rPr>
        <w:t xml:space="preserve">ממילא לא היה בכך כדי למנוע מן המבקשת להשתתף בהתמחרות הנוספת, כפי שקרה בפועל, ובכך גם נשמרו כללי התחרות החופשית. </w:t>
      </w:r>
    </w:p>
    <w:p w:rsidR="00335ED6" w:rsidRDefault="00335ED6" w:rsidP="00335ED6">
      <w:pPr>
        <w:pStyle w:val="2"/>
        <w:spacing w:line="240" w:lineRule="auto"/>
        <w:ind w:left="-199"/>
        <w:rPr>
          <w:rtl/>
        </w:rPr>
      </w:pPr>
    </w:p>
    <w:p w:rsidR="00335ED6" w:rsidRDefault="00335ED6" w:rsidP="00335ED6">
      <w:pPr>
        <w:spacing w:line="360" w:lineRule="auto"/>
        <w:ind w:left="-199"/>
        <w:jc w:val="both"/>
        <w:rPr>
          <w:rFonts w:ascii="Arial" w:hAnsi="Arial"/>
          <w:noProof w:val="0"/>
          <w:rtl/>
        </w:rPr>
      </w:pPr>
      <w:r>
        <w:rPr>
          <w:rtl/>
        </w:rPr>
        <w:t>זאת ועוד, בקשת רשות הערעור הוגשה בראשית חודש יולי והיא נשענת על טענות הנסבות בעיקר סביב העתרות בית המשפט לבקשת בעלי הדין ומתן אישור לקיום התמחרות נוספת, אשר התקיימה כבר, כאמור, ביום 16.09.2024 ובסופה</w:t>
      </w:r>
      <w:r>
        <w:rPr>
          <w:rFonts w:ascii="Arial" w:hAnsi="Arial"/>
          <w:noProof w:val="0"/>
          <w:rtl/>
        </w:rPr>
        <w:t xml:space="preserve"> הוכרזה המבקשת כזוכה, ובהתאם לתוצאת ההתמחרות נקבע, כי תרכוש הזכויות בנכס תמורת הסך של 7,500,000 ₪ בתוספת מע"מ.</w:t>
      </w:r>
    </w:p>
    <w:p w:rsidR="00335ED6" w:rsidRDefault="00335ED6" w:rsidP="00335ED6">
      <w:pPr>
        <w:spacing w:line="360" w:lineRule="auto"/>
        <w:ind w:left="-199"/>
        <w:jc w:val="both"/>
        <w:rPr>
          <w:rFonts w:ascii="Arial" w:hAnsi="Arial"/>
          <w:noProof w:val="0"/>
          <w:rtl/>
        </w:rPr>
      </w:pPr>
    </w:p>
    <w:p w:rsidR="00335ED6" w:rsidRDefault="00335ED6" w:rsidP="00335ED6">
      <w:pPr>
        <w:spacing w:line="360" w:lineRule="auto"/>
        <w:ind w:left="-199"/>
        <w:jc w:val="both"/>
        <w:rPr>
          <w:rFonts w:ascii="Arial" w:hAnsi="Arial"/>
          <w:noProof w:val="0"/>
          <w:rtl/>
        </w:rPr>
      </w:pPr>
      <w:r>
        <w:rPr>
          <w:rFonts w:ascii="Arial" w:hAnsi="Arial"/>
          <w:noProof w:val="0"/>
          <w:rtl/>
        </w:rPr>
        <w:t xml:space="preserve">כעת, למעשה, שונתה חזית המחלוקת ובפי המבקשת טענות הנוגעות לתקינות ההתמחרות הנוספת, אשר לא הועלו בפני הערכאה הדיונית, וממילא לא התבררו ולא הוכרעו על ידה. </w:t>
      </w:r>
    </w:p>
    <w:p w:rsidR="00335ED6" w:rsidRDefault="00335ED6" w:rsidP="00335ED6">
      <w:pPr>
        <w:pStyle w:val="a3"/>
        <w:spacing w:line="360" w:lineRule="auto"/>
        <w:ind w:left="-199"/>
        <w:jc w:val="both"/>
        <w:rPr>
          <w:rFonts w:ascii="Arial" w:hAnsi="Arial"/>
          <w:noProof w:val="0"/>
          <w:rtl/>
        </w:rPr>
      </w:pPr>
      <w:r>
        <w:rPr>
          <w:rFonts w:ascii="Arial" w:hAnsi="Arial"/>
          <w:noProof w:val="0"/>
          <w:rtl/>
        </w:rPr>
        <w:t xml:space="preserve">ואם לא די בכך, עניין לנו בטיעון עובדתי מובהק, אשר ברי, כי אין זה מתפקידה של ערכאת הערעור לבררו. </w:t>
      </w:r>
    </w:p>
    <w:p w:rsidR="00335ED6" w:rsidRDefault="00335ED6" w:rsidP="00335ED6">
      <w:pPr>
        <w:spacing w:line="360" w:lineRule="auto"/>
        <w:ind w:left="-199"/>
        <w:jc w:val="both"/>
        <w:rPr>
          <w:rFonts w:ascii="Arial" w:hAnsi="Arial"/>
          <w:noProof w:val="0"/>
          <w:rtl/>
        </w:rPr>
      </w:pPr>
      <w:r>
        <w:rPr>
          <w:rFonts w:ascii="Arial" w:hAnsi="Arial"/>
          <w:noProof w:val="0"/>
          <w:rtl/>
        </w:rPr>
        <w:t xml:space="preserve">כידוע, הכלל הנוהג בשיטתנו הוא, שאין לאפשר העלאות טענות חדשות בשלב הערעור אם הן לא הועלו ונדונו בפני הערכאה הדיונית, בפרט כאשר מדובר בטענות עובדתיות חדשות או כאלה המשלבות פן עובדתי ופן משפטי [ראו למשל: ע"א 398/79 </w:t>
      </w:r>
      <w:r>
        <w:rPr>
          <w:rFonts w:ascii="Arial" w:hAnsi="Arial"/>
          <w:b/>
          <w:bCs/>
          <w:noProof w:val="0"/>
          <w:rtl/>
        </w:rPr>
        <w:t xml:space="preserve">מנגל נ' מדינת ישראל, </w:t>
      </w:r>
      <w:r>
        <w:rPr>
          <w:rFonts w:ascii="Arial" w:hAnsi="Arial"/>
          <w:noProof w:val="0"/>
          <w:rtl/>
        </w:rPr>
        <w:t xml:space="preserve">פ"ד לו(1) 432].  </w:t>
      </w:r>
    </w:p>
    <w:p w:rsidR="00335ED6" w:rsidRDefault="00335ED6" w:rsidP="00335ED6">
      <w:pPr>
        <w:spacing w:line="360" w:lineRule="auto"/>
        <w:ind w:left="85"/>
        <w:jc w:val="both"/>
        <w:rPr>
          <w:rFonts w:ascii="Arial" w:hAnsi="Arial"/>
          <w:noProof w:val="0"/>
          <w:rtl/>
        </w:rPr>
      </w:pPr>
    </w:p>
    <w:p w:rsidR="00335ED6" w:rsidRDefault="00335ED6" w:rsidP="00335ED6">
      <w:pPr>
        <w:spacing w:line="360" w:lineRule="auto"/>
        <w:ind w:left="-199"/>
        <w:jc w:val="both"/>
        <w:rPr>
          <w:rFonts w:ascii="Arial" w:hAnsi="Arial"/>
          <w:noProof w:val="0"/>
          <w:rtl/>
        </w:rPr>
      </w:pPr>
      <w:r>
        <w:rPr>
          <w:rFonts w:ascii="Arial" w:hAnsi="Arial"/>
          <w:noProof w:val="0"/>
          <w:rtl/>
        </w:rPr>
        <w:t xml:space="preserve">די בכך כדי לדחות טענות המבקשת בעניין ההתמחרות הנוספת. </w:t>
      </w:r>
    </w:p>
    <w:p w:rsidR="00335ED6" w:rsidRDefault="00335ED6" w:rsidP="00335ED6">
      <w:pPr>
        <w:spacing w:line="360" w:lineRule="auto"/>
        <w:ind w:left="-199"/>
        <w:jc w:val="both"/>
        <w:rPr>
          <w:rFonts w:ascii="Arial" w:hAnsi="Arial"/>
          <w:noProof w:val="0"/>
          <w:rtl/>
        </w:rPr>
      </w:pPr>
    </w:p>
    <w:p w:rsidR="00335ED6" w:rsidRDefault="00335ED6" w:rsidP="00335ED6">
      <w:pPr>
        <w:spacing w:line="360" w:lineRule="auto"/>
        <w:ind w:left="-199"/>
        <w:jc w:val="both"/>
        <w:rPr>
          <w:rFonts w:ascii="Arial" w:hAnsi="Arial"/>
          <w:noProof w:val="0"/>
          <w:rtl/>
        </w:rPr>
      </w:pPr>
      <w:r>
        <w:rPr>
          <w:rFonts w:ascii="Arial" w:hAnsi="Arial"/>
          <w:noProof w:val="0"/>
          <w:rtl/>
        </w:rPr>
        <w:t>למעלה מן הצורך יובהר, כי טענות המבקשת בעניין המניעה, לכאורה, שבהצגת טענותיה בפני הערכאה הדיונית אינה ברורה כלל ועיקר, ומוטב היה אלמלא נטענה.</w:t>
      </w:r>
    </w:p>
    <w:p w:rsidR="00335ED6" w:rsidRDefault="00335ED6" w:rsidP="00335ED6">
      <w:pPr>
        <w:spacing w:line="360" w:lineRule="auto"/>
        <w:ind w:left="-199"/>
        <w:jc w:val="both"/>
        <w:rPr>
          <w:rFonts w:ascii="Arial" w:hAnsi="Arial"/>
          <w:noProof w:val="0"/>
          <w:rtl/>
        </w:rPr>
      </w:pPr>
      <w:r>
        <w:rPr>
          <w:rFonts w:ascii="Arial" w:hAnsi="Arial"/>
          <w:noProof w:val="0"/>
          <w:rtl/>
        </w:rPr>
        <w:t xml:space="preserve">ככל שבפיה טענות שעניינן פגיעה בזכויותיה אגב הליכי כינוס הנכסים וישיבות ההתמחרות, וזאת מבלי להביע עמדה בעניין, יש לה זכות לפנות לערכאה הדיונית ולהביאן בפניה, ויתר על כן – הפורום הנכון לבירורן הוא הטריבונל שהורה על מימוש הנכס בהליכי כינוס נכסים, אמון על תקינותם ומפקח עליהם.   </w:t>
      </w:r>
    </w:p>
    <w:p w:rsidR="00335ED6" w:rsidRDefault="00335ED6" w:rsidP="00335ED6">
      <w:pPr>
        <w:spacing w:line="360" w:lineRule="auto"/>
        <w:ind w:left="-199"/>
        <w:jc w:val="both"/>
        <w:rPr>
          <w:rFonts w:ascii="Arial" w:hAnsi="Arial"/>
          <w:noProof w:val="0"/>
          <w:rtl/>
        </w:rPr>
      </w:pPr>
      <w:r>
        <w:rPr>
          <w:rFonts w:ascii="Arial" w:hAnsi="Arial"/>
          <w:noProof w:val="0"/>
          <w:rtl/>
        </w:rPr>
        <w:lastRenderedPageBreak/>
        <w:t>בנוסף, טענות המבקשת בעניין גובה ההצעה שזכתה בסופו של יום בהתמחרות הנוספת בהשוואה להערכת השמאי בעניין שווי הנכס והאמירה לפיה הזכויות בנכס לא תימכרנה במחיר זה, לא זו בלבד שהן מלמדות, כי ככל הנראה היא מבקשת לחזור בה מן ההצעה (הגם שניתנה על ידה מרצונה החופשי ובהליך התמחרות, כידוע), הן מטילות צל דווקא על התנהלותה ועל תום לבה, שהרי איש לא כפה עליה להציע הסכום אשר חתם ההתמחרות, וככל שסברה אגב ניהול ההתמחרות הנוספת כי הסכומים שהוצעו בגדרה אינם משקפים את שווי הנכס,  רשאית הייתה לפרוש מן ההתמחרות, אך היא לא עשתה כן.</w:t>
      </w:r>
    </w:p>
    <w:p w:rsidR="00335ED6" w:rsidRDefault="00335ED6" w:rsidP="00335ED6">
      <w:pPr>
        <w:spacing w:line="360" w:lineRule="auto"/>
        <w:ind w:left="-199"/>
        <w:jc w:val="both"/>
        <w:rPr>
          <w:rFonts w:ascii="Arial" w:hAnsi="Arial"/>
          <w:noProof w:val="0"/>
          <w:rtl/>
        </w:rPr>
      </w:pPr>
      <w:r>
        <w:rPr>
          <w:rFonts w:ascii="Arial" w:hAnsi="Arial"/>
          <w:noProof w:val="0"/>
          <w:rtl/>
        </w:rPr>
        <w:t xml:space="preserve">בהקשר זה יצוין, כי עניין לנו במכר בתנאים של שוק חופשי וחזקה על מציעים בהליך התמחרות, כי בחנו כדאיות העסקה טרם נתנו הצעותיהם.    </w:t>
      </w:r>
    </w:p>
    <w:p w:rsidR="00335ED6" w:rsidRDefault="00335ED6" w:rsidP="00335ED6">
      <w:pPr>
        <w:ind w:left="-199"/>
        <w:jc w:val="both"/>
        <w:rPr>
          <w:rFonts w:ascii="Arial" w:hAnsi="Arial"/>
          <w:noProof w:val="0"/>
          <w:rtl/>
        </w:rPr>
      </w:pPr>
    </w:p>
    <w:p w:rsidR="00335ED6" w:rsidRDefault="00335ED6" w:rsidP="00335ED6">
      <w:pPr>
        <w:spacing w:line="360" w:lineRule="auto"/>
        <w:ind w:left="-199"/>
        <w:jc w:val="both"/>
        <w:rPr>
          <w:rtl/>
        </w:rPr>
      </w:pPr>
      <w:r>
        <w:rPr>
          <w:rtl/>
        </w:rPr>
        <w:t xml:space="preserve">טרם נעילה יאמר עוד, כי בהתאם לפסיקת בית המשפט העליון, אין דרכה של ערכאת הערעור להתערב בהחלטות הערכאה הדיונית שעניינן ניהול הליכי כינוס נכסים, אלא במקרים חריגים, נוכח מומחיותה של הערכאה הדיונית בכגון דא ובקיאותה בפרטי ההליך המשפטי בגדרו ממומש הנכס על נסיבותיו הקונקרטיות (ראו והשוו: רע"א 4406/18 </w:t>
      </w:r>
      <w:r>
        <w:rPr>
          <w:b/>
          <w:bCs/>
          <w:rtl/>
        </w:rPr>
        <w:t>בנק הפועלים בע"מ נ' נאמנים</w:t>
      </w:r>
      <w:r>
        <w:rPr>
          <w:rtl/>
        </w:rPr>
        <w:t xml:space="preserve">, פורסם במאגרים האלקטרוניים; רע"א 5308/14 </w:t>
      </w:r>
      <w:r>
        <w:rPr>
          <w:b/>
          <w:bCs/>
          <w:rtl/>
        </w:rPr>
        <w:t>לוי נ' גרין</w:t>
      </w:r>
      <w:r>
        <w:rPr>
          <w:rtl/>
        </w:rPr>
        <w:t xml:space="preserve">, פורסם במאגרים האלקטרוניים; רע"א 5864/18 </w:t>
      </w:r>
      <w:r>
        <w:rPr>
          <w:b/>
          <w:bCs/>
          <w:rtl/>
        </w:rPr>
        <w:t>ידיד נ' אמסטר</w:t>
      </w:r>
      <w:r>
        <w:rPr>
          <w:rtl/>
        </w:rPr>
        <w:t>, פורסם במאגרים האלקטרוניים).</w:t>
      </w:r>
      <w:r>
        <w:rPr>
          <w:rFonts w:hint="cs"/>
        </w:rPr>
        <w:t xml:space="preserve"> </w:t>
      </w:r>
      <w:r>
        <w:t xml:space="preserve">  </w:t>
      </w:r>
      <w:r>
        <w:rPr>
          <w:rtl/>
        </w:rPr>
        <w:t xml:space="preserve"> </w:t>
      </w:r>
    </w:p>
    <w:p w:rsidR="00335ED6" w:rsidRDefault="00335ED6" w:rsidP="00335ED6">
      <w:pPr>
        <w:spacing w:line="360" w:lineRule="auto"/>
        <w:ind w:left="-199"/>
        <w:jc w:val="both"/>
        <w:rPr>
          <w:rtl/>
        </w:rPr>
      </w:pPr>
      <w:r>
        <w:rPr>
          <w:rtl/>
        </w:rPr>
        <w:t xml:space="preserve">הוא הדין גם בהתייחס להחלטות הנוגעות להליכי התמחרות (ראו למשל: רע"א 8460/19 </w:t>
      </w:r>
      <w:r>
        <w:rPr>
          <w:b/>
          <w:bCs/>
          <w:rtl/>
        </w:rPr>
        <w:t>מכללת סכנין להכשרת עובדי הוראה בע"מ נ' בנקל</w:t>
      </w:r>
      <w:r>
        <w:rPr>
          <w:rtl/>
        </w:rPr>
        <w:t>, פורסם במאגרים האלקטרוניים;</w:t>
      </w:r>
      <w:r>
        <w:rPr>
          <w:rFonts w:hint="cs"/>
        </w:rPr>
        <w:t xml:space="preserve"> </w:t>
      </w:r>
      <w:r>
        <w:rPr>
          <w:rtl/>
        </w:rPr>
        <w:t xml:space="preserve">רע"א 845/21 </w:t>
      </w:r>
      <w:r>
        <w:rPr>
          <w:b/>
          <w:bCs/>
          <w:rtl/>
        </w:rPr>
        <w:t>אברהם נ' חכים</w:t>
      </w:r>
      <w:r>
        <w:rPr>
          <w:rtl/>
        </w:rPr>
        <w:t xml:space="preserve">, פורסם במאגרים האלקטרוניים). </w:t>
      </w:r>
    </w:p>
    <w:p w:rsidR="00335ED6" w:rsidRDefault="00335ED6" w:rsidP="00335ED6">
      <w:pPr>
        <w:spacing w:line="360" w:lineRule="auto"/>
        <w:ind w:left="-199"/>
        <w:jc w:val="both"/>
        <w:rPr>
          <w:rtl/>
        </w:rPr>
      </w:pPr>
    </w:p>
    <w:p w:rsidR="00335ED6" w:rsidRDefault="00335ED6" w:rsidP="00335ED6">
      <w:pPr>
        <w:spacing w:line="360" w:lineRule="auto"/>
        <w:ind w:left="-199"/>
        <w:jc w:val="both"/>
        <w:rPr>
          <w:rFonts w:ascii="Arial" w:hAnsi="Arial"/>
          <w:noProof w:val="0"/>
          <w:rtl/>
        </w:rPr>
      </w:pPr>
      <w:r>
        <w:rPr>
          <w:rtl/>
        </w:rPr>
        <w:t>לא מצאתי כי המקרה שלפנינו נמנה עם המקרים החריגים אשר מצדיקים התערבות כאמור. אדרבא, ההיפך הוא הנכון</w:t>
      </w:r>
      <w:r>
        <w:t>.</w:t>
      </w:r>
    </w:p>
    <w:p w:rsidR="00335ED6" w:rsidRDefault="00335ED6" w:rsidP="00335ED6">
      <w:pPr>
        <w:spacing w:line="360" w:lineRule="auto"/>
        <w:ind w:left="-199"/>
        <w:jc w:val="both"/>
        <w:rPr>
          <w:rFonts w:ascii="Arial" w:hAnsi="Arial"/>
          <w:noProof w:val="0"/>
          <w:rtl/>
        </w:rPr>
      </w:pPr>
    </w:p>
    <w:p w:rsidR="00335ED6" w:rsidRDefault="00335ED6" w:rsidP="00335ED6">
      <w:pPr>
        <w:spacing w:line="360" w:lineRule="auto"/>
        <w:ind w:left="-199"/>
        <w:jc w:val="both"/>
        <w:rPr>
          <w:rFonts w:ascii="Arial" w:hAnsi="Arial"/>
          <w:noProof w:val="0"/>
          <w:rtl/>
        </w:rPr>
      </w:pPr>
      <w:r>
        <w:rPr>
          <w:rFonts w:ascii="Arial" w:hAnsi="Arial"/>
          <w:noProof w:val="0"/>
          <w:rtl/>
        </w:rPr>
        <w:t>לפיכך, ועל יסוד האמור לעיל, לא מצאתי כי יצאה שגגה תחת ידי בית המשפט קמא בהחלטתו, ומשכך גם אין מקום להתערב בה.</w:t>
      </w:r>
    </w:p>
    <w:p w:rsidR="00335ED6" w:rsidRDefault="00335ED6" w:rsidP="00335ED6">
      <w:pPr>
        <w:spacing w:line="360" w:lineRule="auto"/>
        <w:ind w:left="-199"/>
        <w:jc w:val="both"/>
        <w:rPr>
          <w:rFonts w:ascii="Arial" w:hAnsi="Arial"/>
          <w:noProof w:val="0"/>
          <w:rtl/>
        </w:rPr>
      </w:pPr>
    </w:p>
    <w:p w:rsidR="00335ED6" w:rsidRDefault="00335ED6" w:rsidP="00335ED6">
      <w:pPr>
        <w:spacing w:line="360" w:lineRule="auto"/>
        <w:ind w:left="-199"/>
        <w:jc w:val="both"/>
        <w:rPr>
          <w:rFonts w:ascii="Arial" w:hAnsi="Arial"/>
          <w:noProof w:val="0"/>
          <w:rtl/>
        </w:rPr>
      </w:pPr>
      <w:r>
        <w:rPr>
          <w:rFonts w:ascii="Arial" w:hAnsi="Arial"/>
          <w:noProof w:val="0"/>
          <w:rtl/>
        </w:rPr>
        <w:t xml:space="preserve">בקשת רשות הערעור נדחית, אפוא, בזאת. </w:t>
      </w:r>
    </w:p>
    <w:p w:rsidR="00335ED6" w:rsidRDefault="00335ED6" w:rsidP="00335ED6">
      <w:pPr>
        <w:spacing w:line="360" w:lineRule="auto"/>
        <w:ind w:left="-199"/>
        <w:jc w:val="both"/>
        <w:rPr>
          <w:rFonts w:ascii="Arial" w:hAnsi="Arial"/>
          <w:noProof w:val="0"/>
          <w:rtl/>
        </w:rPr>
      </w:pPr>
    </w:p>
    <w:p w:rsidR="00335ED6" w:rsidRDefault="00335ED6" w:rsidP="00335ED6">
      <w:pPr>
        <w:spacing w:line="360" w:lineRule="auto"/>
        <w:ind w:left="-199"/>
        <w:jc w:val="both"/>
        <w:rPr>
          <w:rFonts w:ascii="Arial" w:hAnsi="Arial"/>
          <w:noProof w:val="0"/>
          <w:rtl/>
        </w:rPr>
      </w:pPr>
      <w:r>
        <w:rPr>
          <w:rFonts w:ascii="Arial" w:hAnsi="Arial"/>
          <w:noProof w:val="0"/>
          <w:rtl/>
        </w:rPr>
        <w:t xml:space="preserve">בראי כלל הנסיבות והשתלשלות העניינים, תישא המבקשת בהוצאות לטובת אוצר המדינה בסך 3,500 ₪, אשר ישולמו מתוך העירבון, והיתרה, על פירותיה, תושב לידיה באמצעות באי כוחה. </w:t>
      </w:r>
    </w:p>
    <w:p w:rsidR="00335ED6" w:rsidRDefault="00335ED6" w:rsidP="00335ED6">
      <w:pPr>
        <w:pStyle w:val="a3"/>
        <w:ind w:left="84"/>
        <w:jc w:val="both"/>
        <w:rPr>
          <w:rFonts w:ascii="Arial" w:hAnsi="Arial"/>
          <w:noProof w:val="0"/>
          <w:rtl/>
        </w:rPr>
      </w:pPr>
    </w:p>
    <w:p w:rsidR="00335ED6" w:rsidRDefault="00335ED6" w:rsidP="00335ED6">
      <w:pPr>
        <w:spacing w:line="360" w:lineRule="auto"/>
        <w:ind w:left="-199"/>
        <w:jc w:val="both"/>
        <w:rPr>
          <w:rFonts w:ascii="Arial" w:hAnsi="Arial"/>
          <w:noProof w:val="0"/>
          <w:rtl/>
        </w:rPr>
      </w:pPr>
      <w:r>
        <w:rPr>
          <w:rFonts w:ascii="Arial" w:hAnsi="Arial"/>
          <w:noProof w:val="0"/>
          <w:rtl/>
        </w:rPr>
        <w:t>המזכירות תמציא ההחלטה לצדדים ותסגור התיק.</w:t>
      </w:r>
    </w:p>
    <w:p w:rsidR="00335ED6" w:rsidRDefault="00335ED6" w:rsidP="00335ED6">
      <w:pPr>
        <w:pStyle w:val="a3"/>
        <w:ind w:left="-199"/>
        <w:rPr>
          <w:rFonts w:ascii="Arial" w:hAnsi="Arial"/>
          <w:noProof w:val="0"/>
        </w:rPr>
      </w:pPr>
    </w:p>
    <w:p w:rsidR="00335ED6" w:rsidRDefault="00335ED6" w:rsidP="00335ED6">
      <w:pPr>
        <w:spacing w:line="360" w:lineRule="auto"/>
        <w:ind w:left="-199"/>
        <w:jc w:val="both"/>
        <w:rPr>
          <w:rFonts w:ascii="Arial" w:hAnsi="Arial"/>
          <w:noProof w:val="0"/>
        </w:rPr>
      </w:pPr>
      <w:r>
        <w:rPr>
          <w:rFonts w:ascii="Arial" w:hAnsi="Arial"/>
          <w:noProof w:val="0"/>
          <w:rtl/>
        </w:rPr>
        <w:t xml:space="preserve">ההחלטה ניתנת לפרסום, תוך השמטת שמות הצדדים ופרטים מזהים נוספים. </w:t>
      </w:r>
    </w:p>
    <w:p w:rsidR="00335ED6" w:rsidRDefault="00335ED6" w:rsidP="00335ED6">
      <w:pPr>
        <w:ind w:left="-199"/>
      </w:pPr>
    </w:p>
    <w:p w:rsidR="00335ED6" w:rsidRDefault="00335ED6" w:rsidP="00335ED6">
      <w:pPr>
        <w:spacing w:line="360" w:lineRule="auto"/>
        <w:ind w:left="-199"/>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י"ח חשוון תשפ"ה</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נובמבר 2024</w:t>
          </w:r>
        </w:sdtContent>
      </w:sdt>
      <w:r>
        <w:rPr>
          <w:rFonts w:ascii="Arial" w:hAnsi="Arial"/>
          <w:noProof w:val="0"/>
          <w:rtl/>
        </w:rPr>
        <w:t>, בהעדר הצדדים.</w:t>
      </w:r>
    </w:p>
    <w:p w:rsidR="00335ED6" w:rsidRDefault="00F87CE2" w:rsidP="00335ED6">
      <w:pPr>
        <w:tabs>
          <w:tab w:val="left" w:pos="2553"/>
        </w:tabs>
        <w:ind w:left="-199"/>
        <w:rPr>
          <w:rtl/>
        </w:rPr>
      </w:pPr>
      <w:sdt>
        <w:sdtPr>
          <w:rPr>
            <w:rtl/>
          </w:rPr>
          <w:alias w:val="2045"/>
          <w:tag w:val="2045"/>
          <w:id w:val="740689340"/>
          <w:placeholder>
            <w:docPart w:val="013FD7151A5044C5A1DDB5903291FE93"/>
          </w:placeholder>
          <w:showingPlcHdr/>
          <w:text w:multiLine="1"/>
        </w:sdtPr>
        <w:sdtEndPr/>
        <w:sdtContent>
          <w:r w:rsidR="00335ED6">
            <w:rPr>
              <w:rtl/>
            </w:rPr>
            <w:t xml:space="preserve">     </w:t>
          </w:r>
        </w:sdtContent>
      </w:sdt>
    </w:p>
    <w:p w:rsidR="00335ED6" w:rsidRDefault="00335ED6" w:rsidP="00335ED6">
      <w:pPr>
        <w:tabs>
          <w:tab w:val="left" w:pos="2553"/>
        </w:tabs>
        <w:rPr>
          <w:rtl/>
        </w:rPr>
      </w:pPr>
      <w:r>
        <w:rPr>
          <w:rtl/>
        </w:rPr>
        <w:lastRenderedPageBreak/>
        <w:tab/>
      </w:r>
      <w:r>
        <w:rPr>
          <w:rtl/>
        </w:rPr>
        <w:tab/>
      </w:r>
      <w:r>
        <w:rPr>
          <w:rtl/>
        </w:rPr>
        <w:tab/>
      </w:r>
      <w:r>
        <w:rPr>
          <w:rtl/>
        </w:rPr>
        <w:tab/>
        <w:t xml:space="preserve">        </w:t>
      </w:r>
      <w:sdt>
        <w:sdtPr>
          <w:rPr>
            <w:rtl/>
          </w:rPr>
          <w:alias w:val="MergeField"/>
          <w:tag w:val="1237"/>
          <w:id w:val="-1799759299"/>
        </w:sdtPr>
        <w:sdtEndPr/>
        <w:sdtContent>
          <w:r>
            <w:drawing>
              <wp:inline distT="0" distB="0" distL="0" distR="0">
                <wp:extent cx="1666875" cy="10477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66875" cy="1047750"/>
                        </a:xfrm>
                        <a:prstGeom prst="rect">
                          <a:avLst/>
                        </a:prstGeom>
                        <a:noFill/>
                        <a:ln>
                          <a:noFill/>
                        </a:ln>
                      </pic:spPr>
                    </pic:pic>
                  </a:graphicData>
                </a:graphic>
              </wp:inline>
            </w:drawing>
          </w:r>
        </w:sdtContent>
      </w:sdt>
    </w:p>
    <w:p w:rsidR="00335ED6" w:rsidRDefault="00335ED6" w:rsidP="00335ED6">
      <w:pPr>
        <w:tabs>
          <w:tab w:val="left" w:pos="2553"/>
        </w:tabs>
        <w:rPr>
          <w:rFonts w:ascii="Arial" w:hAnsi="Arial"/>
          <w:noProof w:val="0"/>
        </w:rPr>
      </w:pPr>
    </w:p>
    <w:p w:rsidR="00AD136F" w:rsidRDefault="00AD136F"/>
    <w:sectPr w:rsidR="00AD136F" w:rsidSect="00897C8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ED6"/>
    <w:rsid w:val="000D50EC"/>
    <w:rsid w:val="00255712"/>
    <w:rsid w:val="00335ED6"/>
    <w:rsid w:val="006216E5"/>
    <w:rsid w:val="00897C85"/>
    <w:rsid w:val="00A679A5"/>
    <w:rsid w:val="00AD136F"/>
    <w:rsid w:val="00F87CE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7950C0-0D17-4D66-8272-8F49608B0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5ED6"/>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335ED6"/>
    <w:rPr>
      <w:color w:val="0000FF"/>
      <w:u w:val="single"/>
    </w:rPr>
  </w:style>
  <w:style w:type="paragraph" w:styleId="a3">
    <w:name w:val="List Paragraph"/>
    <w:basedOn w:val="a"/>
    <w:uiPriority w:val="34"/>
    <w:qFormat/>
    <w:rsid w:val="00335ED6"/>
    <w:pPr>
      <w:ind w:left="720"/>
      <w:contextualSpacing/>
    </w:pPr>
  </w:style>
  <w:style w:type="paragraph" w:customStyle="1" w:styleId="2">
    <w:name w:val="פיסקת רשימה2"/>
    <w:basedOn w:val="a"/>
    <w:qFormat/>
    <w:rsid w:val="00335ED6"/>
    <w:pPr>
      <w:spacing w:line="360" w:lineRule="auto"/>
      <w:ind w:left="720"/>
      <w:contextualSpacing/>
      <w:jc w:val="both"/>
    </w:pPr>
    <w:rPr>
      <w:rFonts w:ascii="Century" w:eastAsia="Calibri" w:hAnsi="Century"/>
      <w:noProof w:val="0"/>
      <w:sz w:val="20"/>
    </w:rPr>
  </w:style>
  <w:style w:type="character" w:customStyle="1" w:styleId="1">
    <w:name w:val="ציטוט1 תו"/>
    <w:link w:val="10"/>
    <w:locked/>
    <w:rsid w:val="00335ED6"/>
    <w:rPr>
      <w:rFonts w:ascii="Century" w:hAnsi="Century" w:cs="David"/>
      <w:szCs w:val="24"/>
    </w:rPr>
  </w:style>
  <w:style w:type="paragraph" w:customStyle="1" w:styleId="10">
    <w:name w:val="ציטוט1"/>
    <w:basedOn w:val="a"/>
    <w:link w:val="1"/>
    <w:rsid w:val="00335ED6"/>
    <w:pPr>
      <w:ind w:left="1127" w:right="1276"/>
      <w:jc w:val="both"/>
    </w:pPr>
    <w:rPr>
      <w:rFonts w:ascii="Century" w:eastAsiaTheme="minorHAnsi" w:hAnsi="Century"/>
      <w:noProof w:val="0"/>
      <w:sz w:val="22"/>
    </w:rPr>
  </w:style>
  <w:style w:type="table" w:styleId="a4">
    <w:name w:val="Table Grid"/>
    <w:basedOn w:val="a1"/>
    <w:rsid w:val="00335ED6"/>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579810">
      <w:bodyDiv w:val="1"/>
      <w:marLeft w:val="0"/>
      <w:marRight w:val="0"/>
      <w:marTop w:val="0"/>
      <w:marBottom w:val="0"/>
      <w:divBdr>
        <w:top w:val="none" w:sz="0" w:space="0" w:color="auto"/>
        <w:left w:val="none" w:sz="0" w:space="0" w:color="auto"/>
        <w:bottom w:val="none" w:sz="0" w:space="0" w:color="auto"/>
        <w:right w:val="none" w:sz="0" w:space="0" w:color="auto"/>
      </w:divBdr>
    </w:div>
    <w:div w:id="158166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www.nevo.co.il/safrut/bookgroup/2422" TargetMode="External"/><Relationship Id="rId4" Type="http://schemas.openxmlformats.org/officeDocument/2006/relationships/image" Target="media/image1.png"/><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5EDE73228124CE98CE08C88963E1B12"/>
        <w:category>
          <w:name w:val="כללי"/>
          <w:gallery w:val="placeholder"/>
        </w:category>
        <w:types>
          <w:type w:val="bbPlcHdr"/>
        </w:types>
        <w:behaviors>
          <w:behavior w:val="content"/>
        </w:behaviors>
        <w:guid w:val="{73A2766F-450C-4574-B448-CED6E25A0F37}"/>
      </w:docPartPr>
      <w:docPartBody>
        <w:p w:rsidR="0010101A" w:rsidRDefault="00EB5595" w:rsidP="00EB5595">
          <w:pPr>
            <w:pStyle w:val="25EDE73228124CE98CE08C88963E1B12"/>
          </w:pPr>
          <w:r>
            <w:rPr>
              <w:rFonts w:ascii="Arial" w:hAnsi="Arial"/>
              <w:b/>
              <w:bCs/>
              <w:sz w:val="26"/>
              <w:szCs w:val="26"/>
              <w:rtl/>
            </w:rPr>
            <w:t>שם צד א' ללא שם של חסוי</w:t>
          </w:r>
        </w:p>
      </w:docPartBody>
    </w:docPart>
    <w:docPart>
      <w:docPartPr>
        <w:name w:val="210854E31CE1477480E6104066A8ABB9"/>
        <w:category>
          <w:name w:val="כללי"/>
          <w:gallery w:val="placeholder"/>
        </w:category>
        <w:types>
          <w:type w:val="bbPlcHdr"/>
        </w:types>
        <w:behaviors>
          <w:behavior w:val="content"/>
        </w:behaviors>
        <w:guid w:val="{B774E770-AF22-4214-A228-046B6D9F3ECB}"/>
      </w:docPartPr>
      <w:docPartBody>
        <w:p w:rsidR="0010101A" w:rsidRDefault="00EB5595" w:rsidP="00EB5595">
          <w:pPr>
            <w:pStyle w:val="210854E31CE1477480E6104066A8ABB9"/>
          </w:pPr>
          <w:r>
            <w:rPr>
              <w:rFonts w:ascii="Arial" w:hAnsi="Arial"/>
              <w:b/>
              <w:bCs/>
              <w:sz w:val="26"/>
              <w:szCs w:val="26"/>
              <w:rtl/>
            </w:rPr>
            <w:t>שם צד ב' ללא שם של חסוי</w:t>
          </w:r>
        </w:p>
      </w:docPartBody>
    </w:docPart>
    <w:docPart>
      <w:docPartPr>
        <w:name w:val="013FD7151A5044C5A1DDB5903291FE93"/>
        <w:category>
          <w:name w:val="כללי"/>
          <w:gallery w:val="placeholder"/>
        </w:category>
        <w:types>
          <w:type w:val="bbPlcHdr"/>
        </w:types>
        <w:behaviors>
          <w:behavior w:val="content"/>
        </w:behaviors>
        <w:guid w:val="{A2BBCCEC-2BBA-45ED-B041-925F2EF819CA}"/>
      </w:docPartPr>
      <w:docPartBody>
        <w:p w:rsidR="0010101A" w:rsidRDefault="00EB5595" w:rsidP="00EB5595">
          <w:pPr>
            <w:pStyle w:val="013FD7151A5044C5A1DDB5903291FE93"/>
          </w:pPr>
          <w:r>
            <w:rPr>
              <w:rtl/>
            </w:rPr>
            <w:t xml:space="preserve">     </w:t>
          </w:r>
        </w:p>
      </w:docPartBody>
    </w:docPart>
    <w:docPart>
      <w:docPartPr>
        <w:name w:val="51DAC9712DD04D9D82EED07ACCD8C05A"/>
        <w:category>
          <w:name w:val="כללי"/>
          <w:gallery w:val="placeholder"/>
        </w:category>
        <w:types>
          <w:type w:val="bbPlcHdr"/>
        </w:types>
        <w:behaviors>
          <w:behavior w:val="content"/>
        </w:behaviors>
        <w:guid w:val="{30A3996D-15FB-4D83-9BB5-3DA6058FEF2D}"/>
      </w:docPartPr>
      <w:docPartBody>
        <w:p w:rsidR="0010101A" w:rsidRDefault="00EB5595" w:rsidP="00EB5595">
          <w:pPr>
            <w:pStyle w:val="51DAC9712DD04D9D82EED07ACCD8C05A"/>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595"/>
    <w:rsid w:val="00030433"/>
    <w:rsid w:val="0010101A"/>
    <w:rsid w:val="00912B4C"/>
    <w:rsid w:val="0094130C"/>
    <w:rsid w:val="00EB559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5EDE73228124CE98CE08C88963E1B12">
    <w:name w:val="25EDE73228124CE98CE08C88963E1B12"/>
    <w:rsid w:val="00EB5595"/>
    <w:pPr>
      <w:bidi/>
    </w:pPr>
  </w:style>
  <w:style w:type="paragraph" w:customStyle="1" w:styleId="210854E31CE1477480E6104066A8ABB9">
    <w:name w:val="210854E31CE1477480E6104066A8ABB9"/>
    <w:rsid w:val="00EB5595"/>
    <w:pPr>
      <w:bidi/>
    </w:pPr>
  </w:style>
  <w:style w:type="paragraph" w:customStyle="1" w:styleId="013FD7151A5044C5A1DDB5903291FE93">
    <w:name w:val="013FD7151A5044C5A1DDB5903291FE93"/>
    <w:rsid w:val="00EB5595"/>
    <w:pPr>
      <w:bidi/>
    </w:pPr>
  </w:style>
  <w:style w:type="paragraph" w:customStyle="1" w:styleId="51DAC9712DD04D9D82EED07ACCD8C05A">
    <w:name w:val="51DAC9712DD04D9D82EED07ACCD8C05A"/>
    <w:rsid w:val="00EB5595"/>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2408</Words>
  <Characters>12043</Characters>
  <Application>Microsoft Office Word</Application>
  <DocSecurity>0</DocSecurity>
  <Lines>100</Lines>
  <Paragraphs>28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גרמאו מנגיסטו</cp:lastModifiedBy>
  <cp:revision>2</cp:revision>
  <dcterms:created xsi:type="dcterms:W3CDTF">2024-11-25T14:55:00Z</dcterms:created>
  <dcterms:modified xsi:type="dcterms:W3CDTF">2024-11-25T14:55:00Z</dcterms:modified>
</cp:coreProperties>
</file>